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4FE3B" w14:textId="77777777" w:rsidR="00683825" w:rsidRDefault="00683825" w:rsidP="008343F1">
      <w:pPr>
        <w:rPr>
          <w:rFonts w:ascii="Century Gothic" w:eastAsia="Times New Roman" w:hAnsi="Century Gothic" w:cs="Calibri"/>
          <w14:ligatures w14:val="none"/>
        </w:rPr>
      </w:pPr>
    </w:p>
    <w:p w14:paraId="5A2755AF" w14:textId="4B536ADB" w:rsidR="00683825" w:rsidRDefault="00683825" w:rsidP="008343F1">
      <w:pPr>
        <w:rPr>
          <w:rFonts w:ascii="Century Gothic" w:eastAsia="Times New Roman" w:hAnsi="Century Gothic" w:cs="Calibri"/>
          <w14:ligatures w14:val="none"/>
        </w:rPr>
      </w:pPr>
      <w:r>
        <w:rPr>
          <w:rFonts w:ascii="Century Gothic" w:eastAsia="Times New Roman" w:hAnsi="Century Gothic" w:cs="Calibri"/>
          <w:noProof/>
        </w:rPr>
        <mc:AlternateContent>
          <mc:Choice Requires="wps">
            <w:drawing>
              <wp:anchor distT="0" distB="0" distL="114300" distR="114300" simplePos="0" relativeHeight="251659264" behindDoc="0" locked="0" layoutInCell="1" allowOverlap="1" wp14:anchorId="5A3729F3" wp14:editId="26C19E7B">
                <wp:simplePos x="0" y="0"/>
                <wp:positionH relativeFrom="column">
                  <wp:posOffset>2000250</wp:posOffset>
                </wp:positionH>
                <wp:positionV relativeFrom="paragraph">
                  <wp:posOffset>19685</wp:posOffset>
                </wp:positionV>
                <wp:extent cx="4562475" cy="1524000"/>
                <wp:effectExtent l="0" t="0" r="28575" b="19050"/>
                <wp:wrapNone/>
                <wp:docPr id="740504521" name="Text Box 3"/>
                <wp:cNvGraphicFramePr/>
                <a:graphic xmlns:a="http://schemas.openxmlformats.org/drawingml/2006/main">
                  <a:graphicData uri="http://schemas.microsoft.com/office/word/2010/wordprocessingShape">
                    <wps:wsp>
                      <wps:cNvSpPr txBox="1"/>
                      <wps:spPr>
                        <a:xfrm>
                          <a:off x="0" y="0"/>
                          <a:ext cx="4562475" cy="1524000"/>
                        </a:xfrm>
                        <a:prstGeom prst="rect">
                          <a:avLst/>
                        </a:prstGeom>
                        <a:solidFill>
                          <a:schemeClr val="lt1"/>
                        </a:solidFill>
                        <a:ln w="6350">
                          <a:solidFill>
                            <a:prstClr val="black"/>
                          </a:solidFill>
                        </a:ln>
                      </wps:spPr>
                      <wps:txbx>
                        <w:txbxContent>
                          <w:p w14:paraId="741E78FD" w14:textId="56469F88" w:rsidR="00683825" w:rsidRPr="00683825" w:rsidRDefault="00683825" w:rsidP="00683825">
                            <w:pPr>
                              <w:jc w:val="center"/>
                              <w:rPr>
                                <w:rFonts w:ascii="Viner Hand ITC" w:hAnsi="Viner Hand ITC"/>
                                <w:sz w:val="72"/>
                                <w:szCs w:val="72"/>
                              </w:rPr>
                            </w:pPr>
                            <w:r w:rsidRPr="00683825">
                              <w:rPr>
                                <w:rFonts w:ascii="Viner Hand ITC" w:hAnsi="Viner Hand ITC"/>
                                <w:sz w:val="72"/>
                                <w:szCs w:val="72"/>
                              </w:rPr>
                              <w:t>Pick City News</w:t>
                            </w:r>
                          </w:p>
                          <w:p w14:paraId="6A4CDFB0" w14:textId="75874399" w:rsidR="00683825" w:rsidRPr="00683825" w:rsidRDefault="00683825" w:rsidP="00683825">
                            <w:pPr>
                              <w:jc w:val="center"/>
                              <w:rPr>
                                <w:rFonts w:ascii="Viner Hand ITC" w:hAnsi="Viner Hand ITC"/>
                                <w:sz w:val="72"/>
                                <w:szCs w:val="72"/>
                              </w:rPr>
                            </w:pPr>
                            <w:r w:rsidRPr="00683825">
                              <w:rPr>
                                <w:rFonts w:ascii="Viner Hand ITC" w:hAnsi="Viner Hand ITC"/>
                                <w:sz w:val="72"/>
                                <w:szCs w:val="72"/>
                              </w:rPr>
                              <w:t>October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5A3729F3" id="_x0000_t202" coordsize="21600,21600" o:spt="202" path="m,l,21600r21600,l21600,xe">
                <v:stroke joinstyle="miter"/>
                <v:path gradientshapeok="t" o:connecttype="rect"/>
              </v:shapetype>
              <v:shape id="Text Box 3" o:spid="_x0000_s1026" type="#_x0000_t202" style="position:absolute;margin-left:157.5pt;margin-top:1.55pt;width:359.25pt;height:120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mk4OAIAAH0EAAAOAAAAZHJzL2Uyb0RvYy54bWysVE1v2zAMvQ/YfxB0X+xkTroZcYosRYYB&#10;QVsgHXpWZCk2JouapMTOfv0oxfnqdhp2kUmReiQfSU/vu0aRvbCuBl3Q4SClRGgOZa23Bf3+svzw&#10;iRLnmS6ZAi0KehCO3s/ev5u2JhcjqECVwhIE0S5vTUEr702eJI5XomFuAEZoNEqwDfOo2m1SWtYi&#10;eqOSUZpOkhZsaSxw4RzePhyNdBbxpRTcP0nphCeqoJibj6eN5yacyWzK8q1lpqp5nwb7hywaVmsM&#10;eoZ6YJ6Rna3/gGpqbsGB9AMOTQJS1lzEGrCaYfqmmnXFjIi1IDnOnGly/w+WP+7X5tkS332BDhsY&#10;CGmNyx1ehno6aZvwxUwJ2pHCw5k20XnC8TIbT0bZ3ZgSjrbheJSlaSQ2uTw31vmvAhoShIJa7Euk&#10;i+1XzmNIdD25hGgOVF0ua6WiEmZBLJQle4ZdVD4miS9uvJQmbUEnH8dpBL6xBejz+41i/Eco8xYB&#10;NaXx8lJ8kHy36XpGNlAekCgLxxlyhi9rxF0x55+ZxaFBbnAR/BMeUgEmA71ESQX219/ugz/2Eq2U&#10;tDiEBXU/d8wKStQ3jV3+PMyyMLVRycZ3I1TstWVzbdG7ZgHI0BBXzvAoBn+vTqK00LzivsxDVDQx&#10;zTF2Qf1JXPjjauC+cTGfRyecU8P8Sq8ND9ChI4HPl+6VWdP30+MoPMJpXFn+pq1H3/BSw3znQdax&#10;54HgI6s97zjjsS39PoYlutaj1+WvMfsNAAD//wMAUEsDBBQABgAIAAAAIQAzT1Xz3QAAAAoBAAAP&#10;AAAAZHJzL2Rvd25yZXYueG1sTI/BTsMwEETvSPyDtUjcqNOGojTEqQAVLpwoqGc33toW8Tqy3TT8&#10;Pc4Jbrs7o9k3zXZyPRsxROtJwHJRAEPqvLKkBXx9vt5VwGKSpGTvCQX8YIRte33VyFr5C33guE+a&#10;5RCKtRRgUhpqzmNn0Mm48ANS1k4+OJnyGjRXQV5yuOv5qigeuJOW8gcjB3wx2H3vz07A7llvdFfJ&#10;YHaVsnacDqd3/SbE7c309Ags4ZT+zDDjZ3RoM9PRn0lF1gsol+vcJc0DsFkvynIN7ChgdZ9PvG34&#10;/wrtLwAAAP//AwBQSwECLQAUAAYACAAAACEAtoM4kv4AAADhAQAAEwAAAAAAAAAAAAAAAAAAAAAA&#10;W0NvbnRlbnRfVHlwZXNdLnhtbFBLAQItABQABgAIAAAAIQA4/SH/1gAAAJQBAAALAAAAAAAAAAAA&#10;AAAAAC8BAABfcmVscy8ucmVsc1BLAQItABQABgAIAAAAIQDpfmk4OAIAAH0EAAAOAAAAAAAAAAAA&#10;AAAAAC4CAABkcnMvZTJvRG9jLnhtbFBLAQItABQABgAIAAAAIQAzT1Xz3QAAAAoBAAAPAAAAAAAA&#10;AAAAAAAAAJIEAABkcnMvZG93bnJldi54bWxQSwUGAAAAAAQABADzAAAAnAUAAAAA&#10;" fillcolor="white [3201]" strokeweight=".5pt">
                <v:textbox>
                  <w:txbxContent>
                    <w:p w14:paraId="741E78FD" w14:textId="56469F88" w:rsidR="00683825" w:rsidRPr="00683825" w:rsidRDefault="00683825" w:rsidP="00683825">
                      <w:pPr>
                        <w:jc w:val="center"/>
                        <w:rPr>
                          <w:rFonts w:ascii="Viner Hand ITC" w:hAnsi="Viner Hand ITC"/>
                          <w:sz w:val="72"/>
                          <w:szCs w:val="72"/>
                        </w:rPr>
                      </w:pPr>
                      <w:r w:rsidRPr="00683825">
                        <w:rPr>
                          <w:rFonts w:ascii="Viner Hand ITC" w:hAnsi="Viner Hand ITC"/>
                          <w:sz w:val="72"/>
                          <w:szCs w:val="72"/>
                        </w:rPr>
                        <w:t>Pick City News</w:t>
                      </w:r>
                    </w:p>
                    <w:p w14:paraId="6A4CDFB0" w14:textId="75874399" w:rsidR="00683825" w:rsidRPr="00683825" w:rsidRDefault="00683825" w:rsidP="00683825">
                      <w:pPr>
                        <w:jc w:val="center"/>
                        <w:rPr>
                          <w:rFonts w:ascii="Viner Hand ITC" w:hAnsi="Viner Hand ITC"/>
                          <w:sz w:val="72"/>
                          <w:szCs w:val="72"/>
                        </w:rPr>
                      </w:pPr>
                      <w:r w:rsidRPr="00683825">
                        <w:rPr>
                          <w:rFonts w:ascii="Viner Hand ITC" w:hAnsi="Viner Hand ITC"/>
                          <w:sz w:val="72"/>
                          <w:szCs w:val="72"/>
                        </w:rPr>
                        <w:t>October 2026</w:t>
                      </w:r>
                    </w:p>
                  </w:txbxContent>
                </v:textbox>
              </v:shape>
            </w:pict>
          </mc:Fallback>
        </mc:AlternateContent>
      </w:r>
      <w:r>
        <w:rPr>
          <w:rFonts w:ascii="Century Gothic" w:eastAsia="Times New Roman" w:hAnsi="Century Gothic" w:cs="Calibri"/>
          <w:noProof/>
          <w14:ligatures w14:val="none"/>
        </w:rPr>
        <w:drawing>
          <wp:inline distT="0" distB="0" distL="0" distR="0" wp14:anchorId="2EEA6AC2" wp14:editId="131E3F66">
            <wp:extent cx="1955630" cy="1543050"/>
            <wp:effectExtent l="0" t="0" r="6985" b="0"/>
            <wp:docPr id="17044436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70551" cy="1554823"/>
                    </a:xfrm>
                    <a:prstGeom prst="rect">
                      <a:avLst/>
                    </a:prstGeom>
                    <a:noFill/>
                  </pic:spPr>
                </pic:pic>
              </a:graphicData>
            </a:graphic>
          </wp:inline>
        </w:drawing>
      </w:r>
    </w:p>
    <w:p w14:paraId="3BCD2228" w14:textId="3EB2F166" w:rsidR="008343F1" w:rsidRPr="008343F1" w:rsidRDefault="008343F1" w:rsidP="008343F1">
      <w:pPr>
        <w:rPr>
          <w:rFonts w:ascii="Century Gothic" w:eastAsia="Times New Roman" w:hAnsi="Century Gothic" w:cs="Calibri"/>
          <w14:ligatures w14:val="none"/>
        </w:rPr>
      </w:pPr>
      <w:r w:rsidRPr="008343F1">
        <w:rPr>
          <w:rFonts w:ascii="Century Gothic" w:eastAsia="Times New Roman" w:hAnsi="Century Gothic" w:cs="Calibri"/>
          <w14:ligatures w14:val="none"/>
        </w:rPr>
        <w:t xml:space="preserve">City of Pick City October 7, 2026.                </w:t>
      </w:r>
    </w:p>
    <w:p w14:paraId="47A4196B" w14:textId="77777777" w:rsidR="008343F1" w:rsidRPr="008343F1" w:rsidRDefault="008343F1" w:rsidP="008343F1">
      <w:pPr>
        <w:rPr>
          <w:rFonts w:ascii="Century Gothic" w:eastAsia="Times New Roman" w:hAnsi="Century Gothic" w:cs="Calibri"/>
          <w14:ligatures w14:val="none"/>
        </w:rPr>
      </w:pPr>
      <w:r w:rsidRPr="008343F1">
        <w:rPr>
          <w:rFonts w:ascii="Century Gothic" w:eastAsia="Times New Roman" w:hAnsi="Century Gothic" w:cs="Calibri"/>
          <w14:ligatures w14:val="none"/>
        </w:rPr>
        <w:t xml:space="preserve">2027 Budget Hearing &amp; regular meeting minutes </w:t>
      </w:r>
    </w:p>
    <w:p w14:paraId="7D70033F" w14:textId="77777777" w:rsidR="008343F1" w:rsidRPr="008343F1" w:rsidRDefault="008343F1" w:rsidP="008343F1">
      <w:pPr>
        <w:rPr>
          <w:rFonts w:ascii="Century Gothic" w:eastAsia="Times New Roman" w:hAnsi="Century Gothic" w:cs="Calibri"/>
          <w14:ligatures w14:val="none"/>
        </w:rPr>
      </w:pPr>
      <w:r w:rsidRPr="008343F1">
        <w:rPr>
          <w:rFonts w:ascii="Century Gothic" w:eastAsia="Times New Roman" w:hAnsi="Century Gothic" w:cs="Calibri"/>
          <w14:ligatures w14:val="none"/>
        </w:rPr>
        <w:t>Present: Mayor Arvid Anderson, council Kel Westman, Brandon Reiser, Scott Bather, Lori Davis (via Zoom). Absent: none</w:t>
      </w:r>
    </w:p>
    <w:p w14:paraId="4D397EDF" w14:textId="77777777" w:rsidR="008343F1" w:rsidRPr="008343F1" w:rsidRDefault="008343F1" w:rsidP="008343F1">
      <w:pPr>
        <w:rPr>
          <w:rFonts w:ascii="Century Gothic" w:eastAsia="Times New Roman" w:hAnsi="Century Gothic" w:cs="Calibri"/>
          <w14:ligatures w14:val="none"/>
        </w:rPr>
      </w:pPr>
      <w:r w:rsidRPr="008343F1">
        <w:rPr>
          <w:rFonts w:ascii="Century Gothic" w:eastAsia="Times New Roman" w:hAnsi="Century Gothic" w:cs="Calibri"/>
          <w14:ligatures w14:val="none"/>
        </w:rPr>
        <w:t>Also present: Floyd &amp; Shelly Hanson, Travis Frey, Alyssa Maeder-Stafford, John, Eric &amp; Mavis Elkins, Attorney Mark Kaffer, PWD Jodi Ell, Accountant Amy Ones, Auditor Diane Johnson.</w:t>
      </w:r>
    </w:p>
    <w:p w14:paraId="31C51BF0" w14:textId="77777777" w:rsidR="008343F1" w:rsidRPr="008343F1" w:rsidRDefault="008343F1" w:rsidP="008343F1">
      <w:pPr>
        <w:rPr>
          <w:rFonts w:ascii="Century Gothic" w:eastAsia="Times New Roman" w:hAnsi="Century Gothic" w:cs="Calibri"/>
          <w14:ligatures w14:val="none"/>
        </w:rPr>
      </w:pPr>
      <w:r w:rsidRPr="008343F1">
        <w:rPr>
          <w:rFonts w:ascii="Century Gothic" w:eastAsia="Times New Roman" w:hAnsi="Century Gothic" w:cs="Calibri"/>
          <w14:ligatures w14:val="none"/>
        </w:rPr>
        <w:t>Pledge of Allegiance was recited.</w:t>
      </w:r>
    </w:p>
    <w:p w14:paraId="71CD8161" w14:textId="77777777" w:rsidR="008343F1" w:rsidRPr="008343F1" w:rsidRDefault="008343F1" w:rsidP="008343F1">
      <w:pPr>
        <w:rPr>
          <w:rFonts w:ascii="Century Gothic" w:eastAsia="Times New Roman" w:hAnsi="Century Gothic" w:cs="Calibri"/>
          <w14:ligatures w14:val="none"/>
        </w:rPr>
      </w:pPr>
      <w:r w:rsidRPr="008343F1">
        <w:rPr>
          <w:rFonts w:ascii="Century Gothic" w:eastAsia="Times New Roman" w:hAnsi="Century Gothic" w:cs="Calibri"/>
          <w14:ligatures w14:val="none"/>
        </w:rPr>
        <w:t>Mayor called Budget Hearing to order at 7:30 pm at the city hall.</w:t>
      </w:r>
    </w:p>
    <w:p w14:paraId="73E9531B" w14:textId="77777777" w:rsidR="008343F1" w:rsidRPr="008343F1" w:rsidRDefault="008343F1" w:rsidP="008343F1">
      <w:pPr>
        <w:rPr>
          <w:rFonts w:ascii="Century Gothic" w:eastAsia="Times New Roman" w:hAnsi="Century Gothic" w:cs="Calibri"/>
          <w14:ligatures w14:val="none"/>
        </w:rPr>
      </w:pPr>
      <w:r w:rsidRPr="008343F1">
        <w:rPr>
          <w:rFonts w:ascii="Century Gothic" w:eastAsia="Times New Roman" w:hAnsi="Century Gothic" w:cs="Calibri"/>
          <w14:ligatures w14:val="none"/>
        </w:rPr>
        <w:t>Council reviewed the Budget present by Ones and no public contested budget. Bather motion, second Westman to approve the 2027 budget as presented. All in favor, MC.</w:t>
      </w:r>
    </w:p>
    <w:p w14:paraId="5926302A" w14:textId="77777777" w:rsidR="008343F1" w:rsidRPr="008343F1" w:rsidRDefault="008343F1" w:rsidP="008343F1">
      <w:pPr>
        <w:rPr>
          <w:rFonts w:ascii="Century Gothic" w:eastAsia="Times New Roman" w:hAnsi="Century Gothic" w:cs="Calibri"/>
          <w14:ligatures w14:val="none"/>
        </w:rPr>
      </w:pPr>
      <w:r w:rsidRPr="008343F1">
        <w:rPr>
          <w:rFonts w:ascii="Century Gothic" w:eastAsia="Times New Roman" w:hAnsi="Century Gothic" w:cs="Calibri"/>
          <w14:ligatures w14:val="none"/>
        </w:rPr>
        <w:t>Budget hearing adjourned at 7:40</w:t>
      </w:r>
    </w:p>
    <w:p w14:paraId="291290C1" w14:textId="77777777" w:rsidR="008343F1" w:rsidRPr="008343F1" w:rsidRDefault="008343F1" w:rsidP="008343F1">
      <w:pPr>
        <w:rPr>
          <w:rFonts w:ascii="Century Gothic" w:eastAsia="Times New Roman" w:hAnsi="Century Gothic" w:cs="Calibri"/>
          <w14:ligatures w14:val="none"/>
        </w:rPr>
      </w:pPr>
      <w:r w:rsidRPr="008343F1">
        <w:rPr>
          <w:rFonts w:ascii="Century Gothic" w:eastAsia="Times New Roman" w:hAnsi="Century Gothic" w:cs="Calibri"/>
          <w14:ligatures w14:val="none"/>
        </w:rPr>
        <w:t>Mayor called the regular meeting to order at 7:41pm. Reiser motion, second Bather to approve contest items: agenda, bills and Sept. 2,2026 meeting minutes. All in favor, MC.</w:t>
      </w:r>
    </w:p>
    <w:p w14:paraId="4847F941" w14:textId="77777777" w:rsidR="008343F1" w:rsidRPr="008343F1" w:rsidRDefault="008343F1" w:rsidP="008343F1">
      <w:pPr>
        <w:rPr>
          <w:rFonts w:ascii="Century Gothic" w:eastAsia="Times New Roman" w:hAnsi="Century Gothic" w:cs="Calibri"/>
          <w14:ligatures w14:val="none"/>
        </w:rPr>
      </w:pPr>
      <w:r w:rsidRPr="008343F1">
        <w:rPr>
          <w:rFonts w:ascii="Century Gothic" w:eastAsia="Times New Roman" w:hAnsi="Century Gothic" w:cs="Calibri"/>
          <w14:ligatures w14:val="none"/>
        </w:rPr>
        <w:t>Engineer, Travis Frey requested the approval of Mike McCleery’s plat survey, which will not be annexed into Pick City. Questions &amp; concerns followed including road maintenance on Huber Lane which the city owns a portion of, traffic, abiding the city’s Ordinance to any development proposed in the future years. Attorney Kaffer advised council that if any future development happens the city can address those issues at that time. Reiser motioned, Bather second to approve the plat survey, all in favor, MC.</w:t>
      </w:r>
    </w:p>
    <w:p w14:paraId="0C3214D9" w14:textId="77777777" w:rsidR="008343F1" w:rsidRPr="008343F1" w:rsidRDefault="008343F1" w:rsidP="008343F1">
      <w:pPr>
        <w:rPr>
          <w:rFonts w:ascii="Century Gothic" w:eastAsia="Times New Roman" w:hAnsi="Century Gothic" w:cs="Calibri"/>
          <w14:ligatures w14:val="none"/>
        </w:rPr>
      </w:pPr>
      <w:r w:rsidRPr="008343F1">
        <w:rPr>
          <w:rFonts w:ascii="Century Gothic" w:eastAsia="Times New Roman" w:hAnsi="Century Gothic" w:cs="Calibri"/>
          <w14:ligatures w14:val="none"/>
        </w:rPr>
        <w:t xml:space="preserve">John Elkins presented a proposed plat survey (Tract 1 &amp; Tract 2) of the land his mother, Mavis owns. A portion of “Tract 1” is already annex into Pick City. They were requesting adding 140’x138’ to Tract 1 to the current annexed lot with a 25’ easement/access on the Western boundary of said tracts to allow access and utilities to the South for Tract 2. Davis motioned, Westman second to approval the preliminary annexation and plat with all costs of annexation fees and future infrastructure responsibilities paid by owners of said Tracts. All in favor, MC </w:t>
      </w:r>
    </w:p>
    <w:p w14:paraId="78568153" w14:textId="77777777" w:rsidR="008343F1" w:rsidRPr="008343F1" w:rsidRDefault="008343F1" w:rsidP="008343F1">
      <w:pPr>
        <w:rPr>
          <w:rFonts w:ascii="Century Gothic" w:eastAsia="Times New Roman" w:hAnsi="Century Gothic" w:cs="Calibri"/>
          <w14:ligatures w14:val="none"/>
        </w:rPr>
      </w:pPr>
      <w:r w:rsidRPr="008343F1">
        <w:rPr>
          <w:rFonts w:ascii="Century Gothic" w:eastAsia="Times New Roman" w:hAnsi="Century Gothic" w:cs="Calibri"/>
          <w14:ligatures w14:val="none"/>
        </w:rPr>
        <w:lastRenderedPageBreak/>
        <w:t xml:space="preserve">Lawyer updates: Letters were sent out to the companies responsible for the water break at the motel. </w:t>
      </w:r>
    </w:p>
    <w:p w14:paraId="29AC4BB5" w14:textId="77777777" w:rsidR="008343F1" w:rsidRPr="008343F1" w:rsidRDefault="008343F1" w:rsidP="008343F1">
      <w:pPr>
        <w:rPr>
          <w:rFonts w:ascii="Century Gothic" w:eastAsia="Times New Roman" w:hAnsi="Century Gothic" w:cs="Calibri"/>
          <w14:ligatures w14:val="none"/>
        </w:rPr>
      </w:pPr>
      <w:r w:rsidRPr="008343F1">
        <w:rPr>
          <w:rFonts w:ascii="Century Gothic" w:eastAsia="Times New Roman" w:hAnsi="Century Gothic" w:cs="Calibri"/>
          <w14:ligatures w14:val="none"/>
        </w:rPr>
        <w:t xml:space="preserve">He also said that the state will be checking more into the company that hit the water line. Pick City has an indemnity clause in our Rough Rider franchise. </w:t>
      </w:r>
    </w:p>
    <w:p w14:paraId="51E130A6" w14:textId="77777777" w:rsidR="008343F1" w:rsidRPr="008343F1" w:rsidRDefault="008343F1" w:rsidP="008343F1">
      <w:pPr>
        <w:rPr>
          <w:rFonts w:ascii="Century Gothic" w:eastAsia="Times New Roman" w:hAnsi="Century Gothic" w:cs="Calibri"/>
          <w14:ligatures w14:val="none"/>
        </w:rPr>
      </w:pPr>
      <w:r w:rsidRPr="008343F1">
        <w:rPr>
          <w:rFonts w:ascii="Century Gothic" w:eastAsia="Times New Roman" w:hAnsi="Century Gothic" w:cs="Calibri"/>
          <w14:ligatures w14:val="none"/>
        </w:rPr>
        <w:t xml:space="preserve">Dog complaint was sent out; no court date is set up as of yet. </w:t>
      </w:r>
    </w:p>
    <w:p w14:paraId="47143E99" w14:textId="77777777" w:rsidR="008343F1" w:rsidRPr="008343F1" w:rsidRDefault="008343F1" w:rsidP="008343F1">
      <w:pPr>
        <w:rPr>
          <w:rFonts w:ascii="Century Gothic" w:eastAsia="Times New Roman" w:hAnsi="Century Gothic" w:cs="Calibri"/>
          <w14:ligatures w14:val="none"/>
        </w:rPr>
      </w:pPr>
      <w:r w:rsidRPr="008343F1">
        <w:rPr>
          <w:rFonts w:ascii="Century Gothic" w:eastAsia="Times New Roman" w:hAnsi="Century Gothic" w:cs="Calibri"/>
          <w14:ligatures w14:val="none"/>
        </w:rPr>
        <w:t xml:space="preserve">Mr. Kaffer advised the city to look at additional permits and annexation fees for future developments and recommended updating our ordinances.  </w:t>
      </w:r>
    </w:p>
    <w:p w14:paraId="6EB25BCE" w14:textId="77777777" w:rsidR="008343F1" w:rsidRPr="008343F1" w:rsidRDefault="008343F1" w:rsidP="008343F1">
      <w:pPr>
        <w:rPr>
          <w:rFonts w:ascii="Century Gothic" w:eastAsia="Times New Roman" w:hAnsi="Century Gothic" w:cs="Calibri"/>
          <w14:ligatures w14:val="none"/>
        </w:rPr>
      </w:pPr>
      <w:r w:rsidRPr="008343F1">
        <w:rPr>
          <w:rFonts w:ascii="Century Gothic" w:eastAsia="Times New Roman" w:hAnsi="Century Gothic" w:cs="Calibri"/>
          <w14:ligatures w14:val="none"/>
        </w:rPr>
        <w:t>Drain tile was dug out &amp; repaired. In the alley between Block 24 and discovered that three fiber optic boring sites damage the drain tile in alley which caused the drain tile to collapse in those areas and plugged the drainage. The drain tile through the alley way east &amp; west and North into the old park was jetted out and three new clean out were installed. Auditor will send pictures of damage and attorney will look into the matter.</w:t>
      </w:r>
    </w:p>
    <w:p w14:paraId="4B78E113" w14:textId="77777777" w:rsidR="008343F1" w:rsidRPr="008343F1" w:rsidRDefault="008343F1" w:rsidP="008343F1">
      <w:pPr>
        <w:rPr>
          <w:rFonts w:ascii="Century Gothic" w:eastAsia="Times New Roman" w:hAnsi="Century Gothic" w:cs="Calibri"/>
          <w14:ligatures w14:val="none"/>
        </w:rPr>
      </w:pPr>
      <w:r w:rsidRPr="008343F1">
        <w:rPr>
          <w:rFonts w:ascii="Century Gothic" w:eastAsia="Times New Roman" w:hAnsi="Century Gothic" w:cs="Calibri"/>
          <w14:ligatures w14:val="none"/>
        </w:rPr>
        <w:t>Reiser motioned, second Bather to approve building permits for Andrew Berscth – covered paved patio, Dennis Jones – car port around garage, Mike Meier – water in cooler. All in favor, MC.</w:t>
      </w:r>
    </w:p>
    <w:p w14:paraId="775F7DD3" w14:textId="77777777" w:rsidR="008343F1" w:rsidRPr="008343F1" w:rsidRDefault="008343F1" w:rsidP="008343F1">
      <w:pPr>
        <w:rPr>
          <w:rFonts w:ascii="Century Gothic" w:eastAsia="Times New Roman" w:hAnsi="Century Gothic" w:cs="Calibri"/>
          <w14:ligatures w14:val="none"/>
        </w:rPr>
      </w:pPr>
      <w:r w:rsidRPr="008343F1">
        <w:rPr>
          <w:rFonts w:ascii="Century Gothic" w:eastAsia="Times New Roman" w:hAnsi="Century Gothic" w:cs="Calibri"/>
          <w14:ligatures w14:val="none"/>
        </w:rPr>
        <w:t>Pledge of Securities in the amount of $690,000.00 was received from USB.</w:t>
      </w:r>
    </w:p>
    <w:p w14:paraId="256B0562" w14:textId="77777777" w:rsidR="008343F1" w:rsidRPr="008343F1" w:rsidRDefault="008343F1" w:rsidP="008343F1">
      <w:pPr>
        <w:rPr>
          <w:rFonts w:ascii="Century Gothic" w:eastAsia="Times New Roman" w:hAnsi="Century Gothic" w:cs="Calibri"/>
          <w14:ligatures w14:val="none"/>
        </w:rPr>
      </w:pPr>
      <w:r w:rsidRPr="008343F1">
        <w:rPr>
          <w:rFonts w:ascii="Century Gothic" w:eastAsia="Times New Roman" w:hAnsi="Century Gothic" w:cs="Calibri"/>
          <w14:ligatures w14:val="none"/>
        </w:rPr>
        <w:t>LEPC meeting Oct. 28.</w:t>
      </w:r>
    </w:p>
    <w:p w14:paraId="15BA52A7" w14:textId="77777777" w:rsidR="008343F1" w:rsidRPr="008343F1" w:rsidRDefault="008343F1" w:rsidP="008343F1">
      <w:pPr>
        <w:rPr>
          <w:rFonts w:ascii="Century Gothic" w:eastAsia="Times New Roman" w:hAnsi="Century Gothic" w:cs="Calibri"/>
          <w14:ligatures w14:val="none"/>
        </w:rPr>
      </w:pPr>
      <w:r w:rsidRPr="008343F1">
        <w:rPr>
          <w:rFonts w:ascii="Century Gothic" w:eastAsia="Times New Roman" w:hAnsi="Century Gothic" w:cs="Calibri"/>
          <w14:ligatures w14:val="none"/>
        </w:rPr>
        <w:t>Bather motion, second Westman to approve utility assessments for two property owners in Pick City. All in favor, MC.</w:t>
      </w:r>
    </w:p>
    <w:p w14:paraId="2801802D" w14:textId="77777777" w:rsidR="008343F1" w:rsidRPr="008343F1" w:rsidRDefault="008343F1" w:rsidP="008343F1">
      <w:pPr>
        <w:rPr>
          <w:rFonts w:ascii="Century Gothic" w:eastAsia="Times New Roman" w:hAnsi="Century Gothic" w:cs="Calibri"/>
          <w14:ligatures w14:val="none"/>
        </w:rPr>
      </w:pPr>
      <w:r w:rsidRPr="008343F1">
        <w:rPr>
          <w:rFonts w:ascii="Century Gothic" w:eastAsia="Times New Roman" w:hAnsi="Century Gothic" w:cs="Calibri"/>
          <w14:ligatures w14:val="none"/>
        </w:rPr>
        <w:t>Mercer County Auditor certified uncollected property taxes from 2023 to 2025; in the amount of $10,581.12.</w:t>
      </w:r>
    </w:p>
    <w:p w14:paraId="5C9EF7F7" w14:textId="77777777" w:rsidR="008343F1" w:rsidRPr="008343F1" w:rsidRDefault="008343F1" w:rsidP="008343F1">
      <w:pPr>
        <w:rPr>
          <w:rFonts w:ascii="Century Gothic" w:eastAsia="Times New Roman" w:hAnsi="Century Gothic" w:cs="Calibri"/>
          <w14:ligatures w14:val="none"/>
        </w:rPr>
      </w:pPr>
      <w:r w:rsidRPr="008343F1">
        <w:rPr>
          <w:rFonts w:ascii="Century Gothic" w:eastAsia="Times New Roman" w:hAnsi="Century Gothic" w:cs="Calibri"/>
          <w14:ligatures w14:val="none"/>
        </w:rPr>
        <w:t>Water: Curb stop at Rieser’s was replaced in September.</w:t>
      </w:r>
    </w:p>
    <w:p w14:paraId="599BB2B8" w14:textId="77777777" w:rsidR="008343F1" w:rsidRPr="008343F1" w:rsidRDefault="008343F1" w:rsidP="008343F1">
      <w:pPr>
        <w:rPr>
          <w:rFonts w:ascii="Century Gothic" w:eastAsia="Times New Roman" w:hAnsi="Century Gothic" w:cs="Calibri"/>
          <w14:ligatures w14:val="none"/>
        </w:rPr>
      </w:pPr>
      <w:r w:rsidRPr="008343F1">
        <w:rPr>
          <w:rFonts w:ascii="Century Gothic" w:eastAsia="Times New Roman" w:hAnsi="Century Gothic" w:cs="Calibri"/>
          <w14:ligatures w14:val="none"/>
        </w:rPr>
        <w:t xml:space="preserve">Inland potables inspection of clear wells. Received a good report. Drain man &amp; Jodi repaired the seized North cell access cover at water plant.  </w:t>
      </w:r>
    </w:p>
    <w:p w14:paraId="45241D94" w14:textId="77777777" w:rsidR="008343F1" w:rsidRPr="008343F1" w:rsidRDefault="008343F1" w:rsidP="008343F1">
      <w:pPr>
        <w:rPr>
          <w:rFonts w:ascii="Century Gothic" w:eastAsia="Times New Roman" w:hAnsi="Century Gothic" w:cs="Calibri"/>
          <w14:ligatures w14:val="none"/>
        </w:rPr>
      </w:pPr>
      <w:r w:rsidRPr="008343F1">
        <w:rPr>
          <w:rFonts w:ascii="Century Gothic" w:eastAsia="Times New Roman" w:hAnsi="Century Gothic" w:cs="Calibri"/>
          <w14:ligatures w14:val="none"/>
        </w:rPr>
        <w:t>Landfill: yearly inspection was done in august. Received a good report with the exception that the gate has been left open by contractors, Jodi will contact their supervisors.</w:t>
      </w:r>
    </w:p>
    <w:p w14:paraId="158F7D5A" w14:textId="77777777" w:rsidR="008343F1" w:rsidRPr="008343F1" w:rsidRDefault="008343F1" w:rsidP="008343F1">
      <w:pPr>
        <w:rPr>
          <w:rFonts w:ascii="Century Gothic" w:eastAsia="Times New Roman" w:hAnsi="Century Gothic" w:cs="Calibri"/>
          <w14:ligatures w14:val="none"/>
        </w:rPr>
      </w:pPr>
      <w:r w:rsidRPr="008343F1">
        <w:rPr>
          <w:rFonts w:ascii="Century Gothic" w:eastAsia="Times New Roman" w:hAnsi="Century Gothic" w:cs="Calibri"/>
          <w14:ligatures w14:val="none"/>
        </w:rPr>
        <w:t>Landfill is closed for the season</w:t>
      </w:r>
    </w:p>
    <w:p w14:paraId="3CC89D38" w14:textId="77777777" w:rsidR="008343F1" w:rsidRPr="008343F1" w:rsidRDefault="008343F1" w:rsidP="008343F1">
      <w:pPr>
        <w:rPr>
          <w:rFonts w:ascii="Century Gothic" w:eastAsia="Times New Roman" w:hAnsi="Century Gothic" w:cs="Calibri"/>
          <w14:ligatures w14:val="none"/>
        </w:rPr>
      </w:pPr>
      <w:r w:rsidRPr="008343F1">
        <w:rPr>
          <w:rFonts w:ascii="Century Gothic" w:eastAsia="Times New Roman" w:hAnsi="Century Gothic" w:cs="Calibri"/>
          <w14:ligatures w14:val="none"/>
        </w:rPr>
        <w:t xml:space="preserve">Streets: concerns were brought up about the conditions of the alleys &amp; ditches with the underground boring throughout the town. The city will be contact companies about reclaiming these areas. </w:t>
      </w:r>
    </w:p>
    <w:p w14:paraId="774437AB" w14:textId="77777777" w:rsidR="008343F1" w:rsidRPr="008343F1" w:rsidRDefault="008343F1" w:rsidP="008343F1">
      <w:pPr>
        <w:rPr>
          <w:rFonts w:ascii="Century Gothic" w:eastAsia="Times New Roman" w:hAnsi="Century Gothic" w:cs="Calibri"/>
          <w14:ligatures w14:val="none"/>
        </w:rPr>
      </w:pPr>
      <w:r w:rsidRPr="008343F1">
        <w:rPr>
          <w:rFonts w:ascii="Century Gothic" w:eastAsia="Times New Roman" w:hAnsi="Century Gothic" w:cs="Calibri"/>
          <w14:ligatures w14:val="none"/>
        </w:rPr>
        <w:t>Meeting adjourned @ 8:46pm. Next regular meeting November 4, 2026 @7:30pm</w:t>
      </w:r>
    </w:p>
    <w:p w14:paraId="0F18A285" w14:textId="6D1CE5F3" w:rsidR="008343F1" w:rsidRPr="008343F1" w:rsidRDefault="00683825" w:rsidP="008343F1">
      <w:pPr>
        <w:tabs>
          <w:tab w:val="decimal" w:pos="5040"/>
        </w:tabs>
        <w:rPr>
          <w:rFonts w:ascii="Century Gothic" w:eastAsia="Times New Roman" w:hAnsi="Century Gothic" w:cs="Calibri"/>
          <w14:ligatures w14:val="none"/>
        </w:rPr>
      </w:pPr>
      <w:r>
        <w:rPr>
          <w:rFonts w:ascii="Century Gothic" w:eastAsia="Times New Roman" w:hAnsi="Century Gothic" w:cs="Calibri"/>
          <w14:ligatures w14:val="none"/>
        </w:rPr>
        <w:t>P</w:t>
      </w:r>
      <w:r w:rsidR="008343F1" w:rsidRPr="008343F1">
        <w:rPr>
          <w:rFonts w:ascii="Century Gothic" w:eastAsia="Times New Roman" w:hAnsi="Century Gothic" w:cs="Calibri"/>
          <w14:ligatures w14:val="none"/>
        </w:rPr>
        <w:t>ayroll-5147.28; Diane Johnson -38.00; Jodi Ell-50.00; US Treasury-1448.75; Job service -12.61; WRT-178.16</w:t>
      </w:r>
    </w:p>
    <w:p w14:paraId="3F1F847C" w14:textId="77777777" w:rsidR="008343F1" w:rsidRPr="008343F1" w:rsidRDefault="008343F1" w:rsidP="008343F1">
      <w:pPr>
        <w:tabs>
          <w:tab w:val="decimal" w:pos="5040"/>
        </w:tabs>
        <w:rPr>
          <w:rFonts w:ascii="Century Gothic" w:eastAsia="Times New Roman" w:hAnsi="Century Gothic" w:cs="Calibri"/>
          <w14:ligatures w14:val="none"/>
        </w:rPr>
      </w:pPr>
      <w:r w:rsidRPr="008343F1">
        <w:rPr>
          <w:rFonts w:ascii="Century Gothic" w:eastAsia="Times New Roman" w:hAnsi="Century Gothic" w:cs="Calibri"/>
          <w14:ligatures w14:val="none"/>
        </w:rPr>
        <w:lastRenderedPageBreak/>
        <w:t>RRE-1584.92; Circle Sanit.-2422.25; MSRWD-5965.86; MSRWD-6065.02; Coal Conversion-99.00; Dak Tex -164.70</w:t>
      </w:r>
    </w:p>
    <w:p w14:paraId="372A5D6B" w14:textId="77777777" w:rsidR="008343F1" w:rsidRPr="008343F1" w:rsidRDefault="008343F1" w:rsidP="008343F1">
      <w:pPr>
        <w:tabs>
          <w:tab w:val="decimal" w:pos="5040"/>
        </w:tabs>
        <w:rPr>
          <w:rFonts w:ascii="Century Gothic" w:eastAsia="Times New Roman" w:hAnsi="Century Gothic" w:cs="Calibri"/>
          <w14:ligatures w14:val="none"/>
        </w:rPr>
      </w:pPr>
      <w:r w:rsidRPr="008343F1">
        <w:rPr>
          <w:rFonts w:ascii="Century Gothic" w:eastAsia="Times New Roman" w:hAnsi="Century Gothic" w:cs="Calibri"/>
          <w14:ligatures w14:val="none"/>
        </w:rPr>
        <w:t>Drain Man -27,985.00; Drain Man -3175.00; Fergusion-643.37; Inland Potables-3450.00; Loffer -76.67; NDDOEQ-183.55</w:t>
      </w:r>
    </w:p>
    <w:p w14:paraId="6F4E9993" w14:textId="77777777" w:rsidR="008343F1" w:rsidRPr="008343F1" w:rsidRDefault="008343F1" w:rsidP="008343F1">
      <w:pPr>
        <w:tabs>
          <w:tab w:val="decimal" w:pos="5040"/>
        </w:tabs>
        <w:rPr>
          <w:rFonts w:ascii="Century Gothic" w:eastAsia="Times New Roman" w:hAnsi="Century Gothic" w:cs="Calibri"/>
          <w14:ligatures w14:val="none"/>
        </w:rPr>
      </w:pPr>
      <w:r w:rsidRPr="008343F1">
        <w:rPr>
          <w:rFonts w:ascii="Century Gothic" w:eastAsia="Times New Roman" w:hAnsi="Century Gothic" w:cs="Calibri"/>
          <w14:ligatures w14:val="none"/>
        </w:rPr>
        <w:t>NDDOEQ -108.00; One Call -170.70; One’s Consulting-1200.00; S &amp; M lawn Service- 3150.00; Salhus -100.00</w:t>
      </w:r>
    </w:p>
    <w:p w14:paraId="35669616" w14:textId="77777777" w:rsidR="008343F1" w:rsidRPr="008343F1" w:rsidRDefault="008343F1" w:rsidP="008343F1">
      <w:pPr>
        <w:tabs>
          <w:tab w:val="decimal" w:pos="5040"/>
        </w:tabs>
        <w:rPr>
          <w:rFonts w:ascii="Century Gothic" w:eastAsia="Times New Roman" w:hAnsi="Century Gothic" w:cs="Calibri"/>
          <w14:ligatures w14:val="none"/>
        </w:rPr>
      </w:pPr>
      <w:r w:rsidRPr="008343F1">
        <w:rPr>
          <w:rFonts w:ascii="Century Gothic" w:eastAsia="Times New Roman" w:hAnsi="Century Gothic" w:cs="Calibri"/>
          <w14:ligatures w14:val="none"/>
        </w:rPr>
        <w:t>Scott’s-204.03; Share Corp-595.43; Swanston-104.11; Diane Johnson-11.52</w:t>
      </w:r>
      <w:r w:rsidRPr="008343F1">
        <w:rPr>
          <w:rFonts w:ascii="Century Gothic" w:eastAsia="Times New Roman" w:hAnsi="Century Gothic" w:cs="Calibri"/>
          <w14:ligatures w14:val="none"/>
        </w:rPr>
        <w:tab/>
      </w:r>
      <w:r w:rsidRPr="008343F1">
        <w:rPr>
          <w:rFonts w:ascii="Century Gothic" w:eastAsia="Times New Roman" w:hAnsi="Century Gothic" w:cs="Calibri"/>
          <w14:ligatures w14:val="none"/>
        </w:rPr>
        <w:tab/>
      </w:r>
      <w:r w:rsidRPr="008343F1">
        <w:rPr>
          <w:rFonts w:ascii="Century Gothic" w:eastAsia="Times New Roman" w:hAnsi="Century Gothic" w:cs="Calibri"/>
          <w14:ligatures w14:val="none"/>
        </w:rPr>
        <w:tab/>
      </w:r>
    </w:p>
    <w:p w14:paraId="3B98A33B" w14:textId="77777777" w:rsidR="008343F1" w:rsidRPr="008343F1" w:rsidRDefault="008343F1" w:rsidP="008343F1">
      <w:pPr>
        <w:rPr>
          <w:rFonts w:ascii="Century Gothic" w:eastAsia="Times New Roman" w:hAnsi="Century Gothic" w:cs="Calibri"/>
          <w14:ligatures w14:val="none"/>
        </w:rPr>
      </w:pPr>
    </w:p>
    <w:p w14:paraId="66AC9997" w14:textId="6243E162" w:rsidR="008E7D98" w:rsidRDefault="009627A8">
      <w:pPr>
        <w:rPr>
          <w:rFonts w:ascii="Century Gothic" w:hAnsi="Century Gothic"/>
        </w:rPr>
      </w:pPr>
      <w:r>
        <w:rPr>
          <w:rFonts w:ascii="Century Gothic" w:hAnsi="Century Gothic"/>
          <w:noProof/>
        </w:rPr>
        <mc:AlternateContent>
          <mc:Choice Requires="wps">
            <w:drawing>
              <wp:anchor distT="0" distB="0" distL="114300" distR="114300" simplePos="0" relativeHeight="251660288" behindDoc="0" locked="0" layoutInCell="1" allowOverlap="1" wp14:anchorId="0CC257C2" wp14:editId="5B6F2F42">
                <wp:simplePos x="0" y="0"/>
                <wp:positionH relativeFrom="margin">
                  <wp:posOffset>3876675</wp:posOffset>
                </wp:positionH>
                <wp:positionV relativeFrom="paragraph">
                  <wp:posOffset>2331720</wp:posOffset>
                </wp:positionV>
                <wp:extent cx="2667000" cy="3771900"/>
                <wp:effectExtent l="0" t="0" r="0" b="0"/>
                <wp:wrapNone/>
                <wp:docPr id="398687192" name="Text Box 2"/>
                <wp:cNvGraphicFramePr/>
                <a:graphic xmlns:a="http://schemas.openxmlformats.org/drawingml/2006/main">
                  <a:graphicData uri="http://schemas.microsoft.com/office/word/2010/wordprocessingShape">
                    <wps:wsp>
                      <wps:cNvSpPr txBox="1"/>
                      <wps:spPr>
                        <a:xfrm>
                          <a:off x="0" y="0"/>
                          <a:ext cx="2667000" cy="3771900"/>
                        </a:xfrm>
                        <a:prstGeom prst="rect">
                          <a:avLst/>
                        </a:prstGeom>
                        <a:noFill/>
                        <a:ln w="76200">
                          <a:noFill/>
                        </a:ln>
                      </wps:spPr>
                      <wps:txbx>
                        <w:txbxContent>
                          <w:p w14:paraId="4F3FDF63" w14:textId="77777777" w:rsidR="009627A8" w:rsidRDefault="009627A8" w:rsidP="00DE33F6">
                            <w:pPr>
                              <w:jc w:val="center"/>
                              <w:rPr>
                                <w:sz w:val="36"/>
                                <w:szCs w:val="36"/>
                              </w:rPr>
                            </w:pPr>
                          </w:p>
                          <w:p w14:paraId="2EF20797" w14:textId="0204E6F7" w:rsidR="009627A8" w:rsidRPr="009627A8" w:rsidRDefault="00DE33F6" w:rsidP="009627A8">
                            <w:pPr>
                              <w:jc w:val="center"/>
                              <w:rPr>
                                <w:rFonts w:ascii="Arial Black" w:hAnsi="Arial Black"/>
                                <w:sz w:val="36"/>
                                <w:szCs w:val="36"/>
                              </w:rPr>
                            </w:pPr>
                            <w:r w:rsidRPr="009627A8">
                              <w:rPr>
                                <w:rFonts w:ascii="Arial Black" w:hAnsi="Arial Black"/>
                                <w:sz w:val="36"/>
                                <w:szCs w:val="36"/>
                              </w:rPr>
                              <w:t>Notice of</w:t>
                            </w:r>
                          </w:p>
                          <w:p w14:paraId="7B5E2308" w14:textId="1D5DB4E9" w:rsidR="00DE33F6" w:rsidRPr="009627A8" w:rsidRDefault="00DE33F6" w:rsidP="00DE33F6">
                            <w:pPr>
                              <w:jc w:val="center"/>
                              <w:rPr>
                                <w:rFonts w:ascii="Arial Black" w:hAnsi="Arial Black"/>
                                <w:sz w:val="36"/>
                                <w:szCs w:val="36"/>
                              </w:rPr>
                            </w:pPr>
                            <w:r w:rsidRPr="009627A8">
                              <w:rPr>
                                <w:rFonts w:ascii="Arial Black" w:hAnsi="Arial Black"/>
                                <w:sz w:val="36"/>
                                <w:szCs w:val="36"/>
                              </w:rPr>
                              <w:t>UNKNOWN SERVICE Line Material</w:t>
                            </w:r>
                          </w:p>
                          <w:p w14:paraId="6C3C5734" w14:textId="41FFD44D" w:rsidR="009627A8" w:rsidRPr="009627A8" w:rsidRDefault="009627A8" w:rsidP="00DE33F6">
                            <w:pPr>
                              <w:jc w:val="center"/>
                              <w:rPr>
                                <w:rFonts w:ascii="Arial Black" w:hAnsi="Arial Black"/>
                                <w:sz w:val="36"/>
                                <w:szCs w:val="36"/>
                              </w:rPr>
                            </w:pPr>
                            <w:r w:rsidRPr="009627A8">
                              <w:rPr>
                                <w:rFonts w:ascii="Arial Black" w:hAnsi="Arial Black"/>
                                <w:sz w:val="36"/>
                                <w:szCs w:val="36"/>
                              </w:rPr>
                              <w:t>This is a yearly report required by State and EPA</w:t>
                            </w:r>
                          </w:p>
                          <w:p w14:paraId="65F5AF94" w14:textId="77777777" w:rsidR="009627A8" w:rsidRDefault="009627A8" w:rsidP="00DE33F6">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C257C2" id="Text Box 2" o:spid="_x0000_s1027" type="#_x0000_t202" style="position:absolute;margin-left:305.25pt;margin-top:183.6pt;width:210pt;height:297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ogJGQIAADUEAAAOAAAAZHJzL2Uyb0RvYy54bWysU8tu2zAQvBfoPxC815Jd104Ey4GbwEUB&#10;IwngFDnTFGkJILksSVtyv75Lyi+kPQW5ULvc1T5mhrO7TiuyF843YEo6HOSUCMOhasy2pL9ell9u&#10;KPGBmYopMKKkB+Hp3fzzp1lrCzGCGlQlHMEixhetLWkdgi2yzPNaaOYHYIXBoASnWUDXbbPKsRar&#10;a5WN8nySteAq64AL7/H2oQ/SeaovpeDhSUovAlElxdlCOl06N/HM5jNWbB2zdcOPY7B3TKFZY7Dp&#10;udQDC4zsXPNPKd1wBx5kGHDQGUjZcJF2wG2G+Ztt1jWzIu2C4Hh7hsl/XFn+uF/bZ0dC9x06JDAC&#10;0lpfeLyM+3TS6fjFSQnGEcLDGTbRBcLxcjSZTPMcQxxjX6fT4S06WCe7/G6dDz8EaBKNkjrkJcHF&#10;9isf+tRTSuxmYNkolbhRhrQlnU6Q7PTHOYTVlcEml2mjFbpNR5rqapMNVAdc0EHPvbd82eAQK+bD&#10;M3NINg6OAg5PeEgF2AyOFiU1uD//u4/5yAFGKWlRPCX1v3fMCUrUT4Ps3A7H46i25Iy/TUfouOvI&#10;5jpidvoeUJ9DfCqWJzPmB3UypQP9ijpfxK4YYoZj75KGk3kfeknjO+FisUhJqC/LwsqsLY+lI6wR&#10;4pfulTl75CEghY9wkhkr3tDR5/aELHYBZJO4ijj3qB7hR20mto/vKIr/2k9Zl9c+/wsAAP//AwBQ&#10;SwMEFAAGAAgAAAAhAKoOR4PfAAAADAEAAA8AAABkcnMvZG93bnJldi54bWxMj01PhDAQhu8m/odm&#10;TLy5LWxERcrGbOJFD2Y/Lt5m6QhEOiW0C+ivt5zc48w8eed5i81sOzHS4FvHGpKVAkFcOdNyreF4&#10;eL17BOEDssHOMWn4IQ+b8vqqwNy4iXc07kMtYgj7HDU0IfS5lL5qyKJfuZ443r7cYDHEcailGXCK&#10;4baTqVKZtNhy/NBgT9uGqu/92Wqoj59v0/ucqnmrPuyE5jfsxoPWtzfzyzOIQHP4h2HRj+pQRqeT&#10;O7PxotOQJeo+ohrW2UMKYiHUelmdNDxlSQqyLORlifIPAAD//wMAUEsBAi0AFAAGAAgAAAAhALaD&#10;OJL+AAAA4QEAABMAAAAAAAAAAAAAAAAAAAAAAFtDb250ZW50X1R5cGVzXS54bWxQSwECLQAUAAYA&#10;CAAAACEAOP0h/9YAAACUAQAACwAAAAAAAAAAAAAAAAAvAQAAX3JlbHMvLnJlbHNQSwECLQAUAAYA&#10;CAAAACEAMiqICRkCAAA1BAAADgAAAAAAAAAAAAAAAAAuAgAAZHJzL2Uyb0RvYy54bWxQSwECLQAU&#10;AAYACAAAACEAqg5Hg98AAAAMAQAADwAAAAAAAAAAAAAAAABzBAAAZHJzL2Rvd25yZXYueG1sUEsF&#10;BgAAAAAEAAQA8wAAAH8FAAAAAA==&#10;" filled="f" stroked="f" strokeweight="6pt">
                <v:textbox>
                  <w:txbxContent>
                    <w:p w14:paraId="4F3FDF63" w14:textId="77777777" w:rsidR="009627A8" w:rsidRDefault="009627A8" w:rsidP="00DE33F6">
                      <w:pPr>
                        <w:jc w:val="center"/>
                        <w:rPr>
                          <w:sz w:val="36"/>
                          <w:szCs w:val="36"/>
                        </w:rPr>
                      </w:pPr>
                    </w:p>
                    <w:p w14:paraId="2EF20797" w14:textId="0204E6F7" w:rsidR="009627A8" w:rsidRPr="009627A8" w:rsidRDefault="00DE33F6" w:rsidP="009627A8">
                      <w:pPr>
                        <w:jc w:val="center"/>
                        <w:rPr>
                          <w:rFonts w:ascii="Arial Black" w:hAnsi="Arial Black"/>
                          <w:sz w:val="36"/>
                          <w:szCs w:val="36"/>
                        </w:rPr>
                      </w:pPr>
                      <w:r w:rsidRPr="009627A8">
                        <w:rPr>
                          <w:rFonts w:ascii="Arial Black" w:hAnsi="Arial Black"/>
                          <w:sz w:val="36"/>
                          <w:szCs w:val="36"/>
                        </w:rPr>
                        <w:t>Notice of</w:t>
                      </w:r>
                    </w:p>
                    <w:p w14:paraId="7B5E2308" w14:textId="1D5DB4E9" w:rsidR="00DE33F6" w:rsidRPr="009627A8" w:rsidRDefault="00DE33F6" w:rsidP="00DE33F6">
                      <w:pPr>
                        <w:jc w:val="center"/>
                        <w:rPr>
                          <w:rFonts w:ascii="Arial Black" w:hAnsi="Arial Black"/>
                          <w:sz w:val="36"/>
                          <w:szCs w:val="36"/>
                        </w:rPr>
                      </w:pPr>
                      <w:r w:rsidRPr="009627A8">
                        <w:rPr>
                          <w:rFonts w:ascii="Arial Black" w:hAnsi="Arial Black"/>
                          <w:sz w:val="36"/>
                          <w:szCs w:val="36"/>
                        </w:rPr>
                        <w:t>UNKNOWN SERVICE Line Material</w:t>
                      </w:r>
                    </w:p>
                    <w:p w14:paraId="6C3C5734" w14:textId="41FFD44D" w:rsidR="009627A8" w:rsidRPr="009627A8" w:rsidRDefault="009627A8" w:rsidP="00DE33F6">
                      <w:pPr>
                        <w:jc w:val="center"/>
                        <w:rPr>
                          <w:rFonts w:ascii="Arial Black" w:hAnsi="Arial Black"/>
                          <w:sz w:val="36"/>
                          <w:szCs w:val="36"/>
                        </w:rPr>
                      </w:pPr>
                      <w:r w:rsidRPr="009627A8">
                        <w:rPr>
                          <w:rFonts w:ascii="Arial Black" w:hAnsi="Arial Black"/>
                          <w:sz w:val="36"/>
                          <w:szCs w:val="36"/>
                        </w:rPr>
                        <w:t>This is a yearly report required by State and EPA</w:t>
                      </w:r>
                    </w:p>
                    <w:p w14:paraId="65F5AF94" w14:textId="77777777" w:rsidR="009627A8" w:rsidRDefault="009627A8" w:rsidP="00DE33F6">
                      <w:pPr>
                        <w:jc w:val="center"/>
                      </w:pPr>
                    </w:p>
                  </w:txbxContent>
                </v:textbox>
                <w10:wrap anchorx="margin"/>
              </v:shape>
            </w:pict>
          </mc:Fallback>
        </mc:AlternateContent>
      </w:r>
      <w:r w:rsidR="00FA0C73">
        <w:rPr>
          <w:rFonts w:ascii="Century Gothic" w:hAnsi="Century Gothic"/>
          <w:noProof/>
        </w:rPr>
        <w:drawing>
          <wp:inline distT="0" distB="0" distL="0" distR="0" wp14:anchorId="3B2218A3" wp14:editId="5C0ADD08">
            <wp:extent cx="3221831" cy="4295775"/>
            <wp:effectExtent l="0" t="0" r="0" b="0"/>
            <wp:docPr id="16031192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6163" cy="4301551"/>
                    </a:xfrm>
                    <a:prstGeom prst="rect">
                      <a:avLst/>
                    </a:prstGeom>
                    <a:noFill/>
                  </pic:spPr>
                </pic:pic>
              </a:graphicData>
            </a:graphic>
          </wp:inline>
        </w:drawing>
      </w:r>
      <w:r>
        <w:rPr>
          <w:rFonts w:ascii="Century Gothic" w:hAnsi="Century Gothic"/>
          <w:noProof/>
        </w:rPr>
        <w:drawing>
          <wp:inline distT="0" distB="0" distL="0" distR="0" wp14:anchorId="57BFFA94" wp14:editId="2AB2DDDD">
            <wp:extent cx="3257066" cy="3629025"/>
            <wp:effectExtent l="0" t="0" r="635" b="0"/>
            <wp:docPr id="3319900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80454" cy="3655084"/>
                    </a:xfrm>
                    <a:prstGeom prst="rect">
                      <a:avLst/>
                    </a:prstGeom>
                    <a:noFill/>
                  </pic:spPr>
                </pic:pic>
              </a:graphicData>
            </a:graphic>
          </wp:inline>
        </w:drawing>
      </w:r>
    </w:p>
    <w:p w14:paraId="28C930CC" w14:textId="3F4E9D6D" w:rsidR="00DE33F6" w:rsidRDefault="007D0EA8">
      <w:pPr>
        <w:rPr>
          <w:rFonts w:ascii="Century Gothic" w:hAnsi="Century Gothic"/>
        </w:rPr>
      </w:pPr>
      <w:r>
        <w:rPr>
          <w:rFonts w:ascii="Century Gothic" w:hAnsi="Century Gothic"/>
          <w:noProof/>
        </w:rPr>
        <mc:AlternateContent>
          <mc:Choice Requires="wps">
            <w:drawing>
              <wp:anchor distT="0" distB="0" distL="114300" distR="114300" simplePos="0" relativeHeight="251661312" behindDoc="0" locked="0" layoutInCell="1" allowOverlap="1" wp14:anchorId="45FA3E6E" wp14:editId="63E5E666">
                <wp:simplePos x="0" y="0"/>
                <wp:positionH relativeFrom="column">
                  <wp:posOffset>228600</wp:posOffset>
                </wp:positionH>
                <wp:positionV relativeFrom="paragraph">
                  <wp:posOffset>133985</wp:posOffset>
                </wp:positionV>
                <wp:extent cx="2295525" cy="1390650"/>
                <wp:effectExtent l="0" t="0" r="28575" b="19050"/>
                <wp:wrapNone/>
                <wp:docPr id="1148867463" name="Text Box 4"/>
                <wp:cNvGraphicFramePr/>
                <a:graphic xmlns:a="http://schemas.openxmlformats.org/drawingml/2006/main">
                  <a:graphicData uri="http://schemas.microsoft.com/office/word/2010/wordprocessingShape">
                    <wps:wsp>
                      <wps:cNvSpPr txBox="1"/>
                      <wps:spPr>
                        <a:xfrm>
                          <a:off x="0" y="0"/>
                          <a:ext cx="2295525" cy="1390650"/>
                        </a:xfrm>
                        <a:prstGeom prst="rect">
                          <a:avLst/>
                        </a:prstGeom>
                        <a:solidFill>
                          <a:schemeClr val="accent4">
                            <a:lumMod val="60000"/>
                            <a:lumOff val="40000"/>
                          </a:schemeClr>
                        </a:solidFill>
                        <a:ln/>
                      </wps:spPr>
                      <wps:style>
                        <a:lnRef idx="2">
                          <a:schemeClr val="accent2"/>
                        </a:lnRef>
                        <a:fillRef idx="1">
                          <a:schemeClr val="lt1"/>
                        </a:fillRef>
                        <a:effectRef idx="0">
                          <a:schemeClr val="accent2"/>
                        </a:effectRef>
                        <a:fontRef idx="minor">
                          <a:schemeClr val="dk1"/>
                        </a:fontRef>
                      </wps:style>
                      <wps:txbx>
                        <w:txbxContent>
                          <w:p w14:paraId="7C50E601" w14:textId="48EBCD19" w:rsidR="007D0EA8" w:rsidRPr="007D0EA8" w:rsidRDefault="007D0EA8" w:rsidP="007D0EA8">
                            <w:pPr>
                              <w:jc w:val="center"/>
                              <w:rPr>
                                <w:rFonts w:ascii="Viner Hand ITC" w:hAnsi="Viner Hand ITC"/>
                                <w:b/>
                                <w:bCs/>
                                <w:sz w:val="56"/>
                                <w:szCs w:val="56"/>
                              </w:rPr>
                            </w:pPr>
                            <w:r w:rsidRPr="007D0EA8">
                              <w:rPr>
                                <w:rFonts w:ascii="Viner Hand ITC" w:hAnsi="Viner Hand ITC"/>
                                <w:b/>
                                <w:bCs/>
                                <w:sz w:val="56"/>
                                <w:szCs w:val="56"/>
                              </w:rPr>
                              <w:t>Happy</w:t>
                            </w:r>
                          </w:p>
                          <w:p w14:paraId="33A8A0DC" w14:textId="21D0A11C" w:rsidR="007D0EA8" w:rsidRPr="007D0EA8" w:rsidRDefault="007D0EA8" w:rsidP="007D0EA8">
                            <w:pPr>
                              <w:jc w:val="center"/>
                              <w:rPr>
                                <w:rFonts w:ascii="Viner Hand ITC" w:hAnsi="Viner Hand ITC"/>
                                <w:b/>
                                <w:bCs/>
                                <w:sz w:val="56"/>
                                <w:szCs w:val="56"/>
                              </w:rPr>
                            </w:pPr>
                            <w:r w:rsidRPr="007D0EA8">
                              <w:rPr>
                                <w:rFonts w:ascii="Viner Hand ITC" w:hAnsi="Viner Hand ITC"/>
                                <w:b/>
                                <w:bCs/>
                                <w:sz w:val="56"/>
                                <w:szCs w:val="56"/>
                              </w:rPr>
                              <w:t>Halloween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FA3E6E" id="Text Box 4" o:spid="_x0000_s1028" type="#_x0000_t202" style="position:absolute;margin-left:18pt;margin-top:10.55pt;width:180.75pt;height:10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y13kgIAAIAFAAAOAAAAZHJzL2Uyb0RvYy54bWysVEtvEzEQviPxHyzfyW6WpNComyqkKkIq&#10;bUWLena8drPC9hjbyW749Yy9j4aSEyKHjT2vb2b8zVxctlqRvXC+BlPS6SSnRBgOVW2eS/r98frd&#10;R0p8YKZiCowo6UF4erl8++aisQtRwBZUJRzBIMYvGlvSbQh2kWWeb4VmfgJWGFRKcJoFvLrnrHKs&#10;wehaZUWen2UNuMo64MJ7lF51SrpM8aUUPNxJ6UUgqqSYW0hfl76b+M2WF2zx7Jjd1rxPg/1DFprV&#10;BkHHUFcsMLJz9V+hdM0deJBhwkFnIGXNRaoBq5nmr6p52DIrUi3YHG/HNvn/F5bf7h/svSOh/QQt&#10;PmBsSGP9wqMw1tNKp+M/ZkpQjy08jG0TbSAchUVxPp8Xc0o46qbvz/OzeWps9uJunQ+fBWgSDyV1&#10;+C6pXWx/4wNCoulgEtE8qLq6rpVKl8gFsVaO7Bm+IuNcmDBL7mqnv0LVyc9y/HXviWJ89U48G8QI&#10;kVgVIyXAP0CUiVm8VJ5O4aBEzECZb0KSuoq1Jtwx0HFKRQRHlGQd3SQWMDpOTzmqkBqOTr1tdBOJ&#10;tqNjfsqxa8KAOHokVDBhdNa1AXcqQPVjRO7sh+q7mmP5od20WHSsuSfFBqoDcsVBN0be8usa3/OG&#10;+XDPHM4N0gN3QbjDj1TQlBT6EyVbcL9OyaM90hm1lDQ4hyX1P3fMCUrUF4NEP5/OZnFw02U2/1Dg&#10;xR1rNscas9NrQJJMcetYno7RPqjhKB3oJ1wZq4iKKmY4Ypc0DMd16LYDrhwuVqtkhKNqWbgxD5bH&#10;0LHLka2P7RNztqd0wGm4hWFi2eIVszvb6GlgtQsg60T72Oeuq33/ccwTifqVFPfI8T1ZvSzO5W8A&#10;AAD//wMAUEsDBBQABgAIAAAAIQCD+siI3gAAAAkBAAAPAAAAZHJzL2Rvd25yZXYueG1sTI9LT8Mw&#10;EITvSPwHa5G4USd9ASFOVVX0Alwoj/MmXpKo8TqKnTb8e5YTHGdnNfNNvplcp040hNazgXSWgCKu&#10;vG25NvD+tr+5AxUissXOMxn4pgCb4vIix8z6M7/S6RBrJSEcMjTQxNhnWoeqIYdh5nti8b784DCK&#10;HGptBzxLuOv0PEnW2mHL0tBgT7uGquNhdAaSVju3He1+9bgsd5/HD5xenp+Mub6atg+gIk3x7xl+&#10;8QUdCmEq/cg2qM7AYi1TooF5moISf3F/uwJVymGZpKCLXP9fUPwAAAD//wMAUEsBAi0AFAAGAAgA&#10;AAAhALaDOJL+AAAA4QEAABMAAAAAAAAAAAAAAAAAAAAAAFtDb250ZW50X1R5cGVzXS54bWxQSwEC&#10;LQAUAAYACAAAACEAOP0h/9YAAACUAQAACwAAAAAAAAAAAAAAAAAvAQAAX3JlbHMvLnJlbHNQSwEC&#10;LQAUAAYACAAAACEAuHstd5ICAACABQAADgAAAAAAAAAAAAAAAAAuAgAAZHJzL2Uyb0RvYy54bWxQ&#10;SwECLQAUAAYACAAAACEAg/rIiN4AAAAJAQAADwAAAAAAAAAAAAAAAADsBAAAZHJzL2Rvd25yZXYu&#10;eG1sUEsFBgAAAAAEAAQA8wAAAPcFAAAAAA==&#10;" fillcolor="#ffd966 [1943]" strokecolor="#ed7d31 [3205]" strokeweight="1pt">
                <v:textbox>
                  <w:txbxContent>
                    <w:p w14:paraId="7C50E601" w14:textId="48EBCD19" w:rsidR="007D0EA8" w:rsidRPr="007D0EA8" w:rsidRDefault="007D0EA8" w:rsidP="007D0EA8">
                      <w:pPr>
                        <w:jc w:val="center"/>
                        <w:rPr>
                          <w:rFonts w:ascii="Viner Hand ITC" w:hAnsi="Viner Hand ITC"/>
                          <w:b/>
                          <w:bCs/>
                          <w:sz w:val="56"/>
                          <w:szCs w:val="56"/>
                        </w:rPr>
                      </w:pPr>
                      <w:r w:rsidRPr="007D0EA8">
                        <w:rPr>
                          <w:rFonts w:ascii="Viner Hand ITC" w:hAnsi="Viner Hand ITC"/>
                          <w:b/>
                          <w:bCs/>
                          <w:sz w:val="56"/>
                          <w:szCs w:val="56"/>
                        </w:rPr>
                        <w:t>Happy</w:t>
                      </w:r>
                    </w:p>
                    <w:p w14:paraId="33A8A0DC" w14:textId="21D0A11C" w:rsidR="007D0EA8" w:rsidRPr="007D0EA8" w:rsidRDefault="007D0EA8" w:rsidP="007D0EA8">
                      <w:pPr>
                        <w:jc w:val="center"/>
                        <w:rPr>
                          <w:rFonts w:ascii="Viner Hand ITC" w:hAnsi="Viner Hand ITC"/>
                          <w:b/>
                          <w:bCs/>
                          <w:sz w:val="56"/>
                          <w:szCs w:val="56"/>
                        </w:rPr>
                      </w:pPr>
                      <w:r w:rsidRPr="007D0EA8">
                        <w:rPr>
                          <w:rFonts w:ascii="Viner Hand ITC" w:hAnsi="Viner Hand ITC"/>
                          <w:b/>
                          <w:bCs/>
                          <w:sz w:val="56"/>
                          <w:szCs w:val="56"/>
                        </w:rPr>
                        <w:t>Halloween</w:t>
                      </w:r>
                    </w:p>
                  </w:txbxContent>
                </v:textbox>
              </v:shape>
            </w:pict>
          </mc:Fallback>
        </mc:AlternateContent>
      </w:r>
    </w:p>
    <w:p w14:paraId="1F8CD4AC" w14:textId="3EC68E0A" w:rsidR="00DE33F6" w:rsidRDefault="00DE33F6" w:rsidP="00DE33F6">
      <w:pPr>
        <w:pStyle w:val="NoSpacing"/>
        <w:rPr>
          <w:color w:val="806000" w:themeColor="accent4" w:themeShade="80"/>
          <w:sz w:val="40"/>
          <w:szCs w:val="40"/>
        </w:rPr>
      </w:pPr>
    </w:p>
    <w:p w14:paraId="1BE40DC1" w14:textId="499C114E" w:rsidR="00DE33F6" w:rsidRDefault="00DE33F6" w:rsidP="00DE33F6">
      <w:pPr>
        <w:pStyle w:val="NoSpacing"/>
        <w:rPr>
          <w:color w:val="806000" w:themeColor="accent4" w:themeShade="80"/>
          <w:sz w:val="40"/>
          <w:szCs w:val="40"/>
        </w:rPr>
      </w:pPr>
    </w:p>
    <w:p w14:paraId="1CBA3395" w14:textId="280346FA" w:rsidR="00DE33F6" w:rsidRDefault="00DE33F6" w:rsidP="00DE33F6">
      <w:pPr>
        <w:pStyle w:val="NoSpacing"/>
        <w:rPr>
          <w:color w:val="806000" w:themeColor="accent4" w:themeShade="80"/>
          <w:sz w:val="40"/>
          <w:szCs w:val="40"/>
        </w:rPr>
      </w:pPr>
    </w:p>
    <w:p w14:paraId="3FAC005B" w14:textId="77777777" w:rsidR="00DE33F6" w:rsidRDefault="00DE33F6" w:rsidP="00DE33F6">
      <w:pPr>
        <w:pStyle w:val="NoSpacing"/>
        <w:rPr>
          <w:color w:val="806000" w:themeColor="accent4" w:themeShade="80"/>
          <w:sz w:val="40"/>
          <w:szCs w:val="40"/>
        </w:rPr>
      </w:pPr>
    </w:p>
    <w:p w14:paraId="5C989158" w14:textId="77777777" w:rsidR="00DE33F6" w:rsidRDefault="00DE33F6" w:rsidP="00DE33F6">
      <w:pPr>
        <w:pStyle w:val="NoSpacing"/>
        <w:rPr>
          <w:color w:val="806000" w:themeColor="accent4" w:themeShade="80"/>
          <w:sz w:val="40"/>
          <w:szCs w:val="40"/>
        </w:rPr>
      </w:pPr>
    </w:p>
    <w:p w14:paraId="5B34C22D" w14:textId="77777777" w:rsidR="00DE33F6" w:rsidRDefault="00DE33F6" w:rsidP="00DE33F6">
      <w:pPr>
        <w:pStyle w:val="NoSpacing"/>
        <w:rPr>
          <w:color w:val="806000" w:themeColor="accent4" w:themeShade="80"/>
          <w:sz w:val="40"/>
          <w:szCs w:val="40"/>
        </w:rPr>
      </w:pPr>
    </w:p>
    <w:p w14:paraId="00D1302E" w14:textId="640CD42E" w:rsidR="00DE33F6" w:rsidRPr="003D0861" w:rsidRDefault="00DE33F6" w:rsidP="00DE33F6">
      <w:pPr>
        <w:pStyle w:val="NoSpacing"/>
        <w:rPr>
          <w:color w:val="806000" w:themeColor="accent4" w:themeShade="80"/>
          <w:sz w:val="40"/>
          <w:szCs w:val="40"/>
        </w:rPr>
      </w:pPr>
      <w:r w:rsidRPr="003D0861">
        <w:rPr>
          <w:color w:val="806000" w:themeColor="accent4" w:themeShade="80"/>
          <w:sz w:val="40"/>
          <w:szCs w:val="40"/>
        </w:rPr>
        <w:lastRenderedPageBreak/>
        <w:t xml:space="preserve">Notice of </w:t>
      </w:r>
      <w:r w:rsidRPr="00FF50BB">
        <w:rPr>
          <w:color w:val="806000" w:themeColor="accent4" w:themeShade="80"/>
          <w:sz w:val="40"/>
          <w:szCs w:val="40"/>
          <w:u w:val="single"/>
        </w:rPr>
        <w:t>Unknown</w:t>
      </w:r>
      <w:r w:rsidRPr="003D0861">
        <w:rPr>
          <w:color w:val="806000" w:themeColor="accent4" w:themeShade="80"/>
          <w:sz w:val="40"/>
          <w:szCs w:val="40"/>
        </w:rPr>
        <w:t xml:space="preserve"> Service Line</w:t>
      </w:r>
      <w:r>
        <w:rPr>
          <w:color w:val="806000" w:themeColor="accent4" w:themeShade="80"/>
          <w:sz w:val="40"/>
          <w:szCs w:val="40"/>
        </w:rPr>
        <w:t xml:space="preserve"> Material</w:t>
      </w:r>
    </w:p>
    <w:p w14:paraId="743210BA" w14:textId="77777777" w:rsidR="00DE33F6" w:rsidRPr="003D0861" w:rsidRDefault="00DE33F6" w:rsidP="00DE33F6">
      <w:pPr>
        <w:pStyle w:val="NoSpacing"/>
        <w:rPr>
          <w:color w:val="806000" w:themeColor="accent4" w:themeShade="80"/>
        </w:rPr>
      </w:pPr>
    </w:p>
    <w:p w14:paraId="3FB89C5E" w14:textId="77777777" w:rsidR="00DE33F6" w:rsidRPr="00DE33F6" w:rsidRDefault="00DE33F6" w:rsidP="00DE33F6">
      <w:pPr>
        <w:pStyle w:val="NoSpacing"/>
        <w:rPr>
          <w:b/>
          <w:bCs/>
          <w:sz w:val="20"/>
          <w:szCs w:val="20"/>
        </w:rPr>
      </w:pPr>
      <w:r w:rsidRPr="00DE33F6">
        <w:rPr>
          <w:b/>
          <w:bCs/>
          <w:sz w:val="20"/>
          <w:szCs w:val="20"/>
        </w:rPr>
        <w:t>This notice is being provided only to those locations with a service line that has been classified as being made of unknown material.  This type of line is referred to as a line with Unknown Service Line Material.</w:t>
      </w:r>
    </w:p>
    <w:p w14:paraId="28539DA3" w14:textId="77777777" w:rsidR="00DE33F6" w:rsidRPr="00DE33F6" w:rsidRDefault="00DE33F6" w:rsidP="00DE33F6">
      <w:pPr>
        <w:pStyle w:val="NoSpacing"/>
        <w:rPr>
          <w:b/>
          <w:bCs/>
          <w:sz w:val="20"/>
          <w:szCs w:val="20"/>
        </w:rPr>
      </w:pPr>
    </w:p>
    <w:p w14:paraId="2AD347BD" w14:textId="77777777" w:rsidR="00DE33F6" w:rsidRPr="00DE33F6" w:rsidRDefault="00DE33F6" w:rsidP="00DE33F6">
      <w:pPr>
        <w:pStyle w:val="NoSpacing"/>
        <w:rPr>
          <w:sz w:val="20"/>
          <w:szCs w:val="20"/>
        </w:rPr>
      </w:pPr>
      <w:r w:rsidRPr="00DE33F6">
        <w:rPr>
          <w:b/>
          <w:bCs/>
          <w:sz w:val="20"/>
          <w:szCs w:val="20"/>
        </w:rPr>
        <w:t xml:space="preserve">The City of Pick City </w:t>
      </w:r>
      <w:r w:rsidRPr="00DE33F6">
        <w:rPr>
          <w:sz w:val="20"/>
          <w:szCs w:val="20"/>
        </w:rPr>
        <w:t xml:space="preserve">is focused on protecting the health of every household in our community. This notice contains important information about your drinking water.  Please share this information with anyone who drinks and /or cooks using water at this property. This includes: any resident in apartments, staff and patients in nursing homes, students and staff in schools, employees and customers in businesses and parents or guardians and children of daycare facilities who would be likely to drink the water at this site or location. If you are aware of non-English speaking individuals who need help with the appropriate language translation, please contact: City of Pick City, Jodi Ell, 701-487-3327. pickcity@westriv.com). </w:t>
      </w:r>
    </w:p>
    <w:p w14:paraId="0673E91E" w14:textId="77777777" w:rsidR="00DE33F6" w:rsidRPr="00DE33F6" w:rsidRDefault="00DE33F6" w:rsidP="00DE33F6">
      <w:pPr>
        <w:pStyle w:val="NoSpacing"/>
        <w:rPr>
          <w:b/>
          <w:bCs/>
          <w:sz w:val="20"/>
          <w:szCs w:val="20"/>
        </w:rPr>
      </w:pPr>
    </w:p>
    <w:p w14:paraId="27C2D401" w14:textId="77777777" w:rsidR="00DE33F6" w:rsidRPr="00DE33F6" w:rsidRDefault="00DE33F6" w:rsidP="00DE33F6">
      <w:pPr>
        <w:pStyle w:val="NoSpacing"/>
        <w:rPr>
          <w:sz w:val="20"/>
          <w:szCs w:val="20"/>
        </w:rPr>
      </w:pPr>
      <w:r w:rsidRPr="00DE33F6">
        <w:rPr>
          <w:b/>
          <w:bCs/>
          <w:sz w:val="20"/>
          <w:szCs w:val="20"/>
        </w:rPr>
        <w:t xml:space="preserve">What is a service line? </w:t>
      </w:r>
      <w:r w:rsidRPr="00DE33F6">
        <w:rPr>
          <w:sz w:val="20"/>
          <w:szCs w:val="20"/>
        </w:rPr>
        <w:t>A service line is the pipe connecting the water main to the interior plumbing in a building.  The entire service line may be owned by either the water system or property owner, or ownership may be split between the water system and the property owner.</w:t>
      </w:r>
    </w:p>
    <w:p w14:paraId="784BF55D" w14:textId="77777777" w:rsidR="00DE33F6" w:rsidRPr="00DE33F6" w:rsidRDefault="00DE33F6" w:rsidP="00DE33F6">
      <w:pPr>
        <w:pStyle w:val="NoSpacing"/>
        <w:rPr>
          <w:sz w:val="20"/>
          <w:szCs w:val="20"/>
        </w:rPr>
      </w:pPr>
    </w:p>
    <w:p w14:paraId="1510EA2C" w14:textId="77777777" w:rsidR="00DE33F6" w:rsidRPr="00DE33F6" w:rsidRDefault="00DE33F6" w:rsidP="00DE33F6">
      <w:pPr>
        <w:pStyle w:val="NoSpacing"/>
        <w:rPr>
          <w:sz w:val="20"/>
          <w:szCs w:val="20"/>
        </w:rPr>
      </w:pPr>
      <w:bookmarkStart w:id="0" w:name="_Hlk174969891"/>
      <w:r w:rsidRPr="00DE33F6">
        <w:rPr>
          <w:b/>
          <w:bCs/>
          <w:sz w:val="20"/>
          <w:szCs w:val="20"/>
        </w:rPr>
        <w:t xml:space="preserve">The City of Pick City </w:t>
      </w:r>
      <w:r w:rsidRPr="00DE33F6">
        <w:rPr>
          <w:sz w:val="20"/>
          <w:szCs w:val="20"/>
        </w:rPr>
        <w:t>is currently working and will continue to work to identify service line materials throughout the water system.  The material making up the water pipe (called a service line) that connects your structure to the water main has not yet been specifically identified and is currently classified as unknown material but may be lead.  Because your service line material is unknown, there is the potential that some or all of the service line could be made of lead or galvanized pipe that was previously connected to lead.  People living in homes with a lead or galvanized pipe previously connected to a lead service line have an increased risk of exposure to lead from their drinking water.</w:t>
      </w:r>
    </w:p>
    <w:p w14:paraId="44F4575A" w14:textId="77777777" w:rsidR="00DE33F6" w:rsidRDefault="00DE33F6" w:rsidP="00DE33F6">
      <w:pPr>
        <w:pStyle w:val="NoSpacing"/>
      </w:pPr>
    </w:p>
    <w:p w14:paraId="6CC7E877" w14:textId="77777777" w:rsidR="00DE33F6" w:rsidRPr="003B0509" w:rsidRDefault="00DE33F6" w:rsidP="00DE33F6">
      <w:pPr>
        <w:pStyle w:val="NoSpacing"/>
        <w:rPr>
          <w:color w:val="806000" w:themeColor="accent4" w:themeShade="80"/>
          <w:sz w:val="32"/>
          <w:szCs w:val="32"/>
        </w:rPr>
      </w:pPr>
      <w:bookmarkStart w:id="1" w:name="_Hlk174970973"/>
      <w:bookmarkEnd w:id="0"/>
      <w:r w:rsidRPr="003B0509">
        <w:rPr>
          <w:color w:val="806000" w:themeColor="accent4" w:themeShade="80"/>
          <w:sz w:val="32"/>
          <w:szCs w:val="32"/>
        </w:rPr>
        <w:t>Identifying service line material</w:t>
      </w:r>
    </w:p>
    <w:p w14:paraId="4C2E1617" w14:textId="77777777" w:rsidR="00DE33F6" w:rsidRDefault="00DE33F6" w:rsidP="00DE33F6">
      <w:pPr>
        <w:pStyle w:val="NoSpacing"/>
      </w:pPr>
      <w:r>
        <w:t xml:space="preserve">To help determine the material your service line is made from, please contact, </w:t>
      </w:r>
      <w:r>
        <w:rPr>
          <w:b/>
          <w:bCs/>
        </w:rPr>
        <w:t xml:space="preserve">The city of Pick City, Jodi Ell 701-487-3327 or </w:t>
      </w:r>
      <w:hyperlink r:id="rId9" w:history="1">
        <w:r w:rsidRPr="00393260">
          <w:rPr>
            <w:rStyle w:val="Hyperlink"/>
            <w:b/>
            <w:bCs/>
          </w:rPr>
          <w:t>pickcity@westriv.com</w:t>
        </w:r>
      </w:hyperlink>
      <w:r>
        <w:rPr>
          <w:b/>
          <w:bCs/>
        </w:rPr>
        <w:t xml:space="preserve"> </w:t>
      </w:r>
      <w:r>
        <w:t xml:space="preserve">EPA has developed an online step-by-step guide to help people identify lead pipes in their structures called Protect Your Tap: A Quick Check for Lead.  </w:t>
      </w:r>
    </w:p>
    <w:p w14:paraId="1F1249BF" w14:textId="77777777" w:rsidR="00DE33F6" w:rsidRDefault="00DE33F6" w:rsidP="00DE33F6">
      <w:pPr>
        <w:pStyle w:val="NoSpacing"/>
      </w:pPr>
    </w:p>
    <w:p w14:paraId="1BA3F29D" w14:textId="77777777" w:rsidR="00DE33F6" w:rsidRDefault="00DE33F6" w:rsidP="00DE33F6">
      <w:pPr>
        <w:pStyle w:val="NoSpacing"/>
      </w:pPr>
      <w:hyperlink r:id="rId10" w:history="1">
        <w:r w:rsidRPr="00DB59F3">
          <w:rPr>
            <w:rStyle w:val="Hyperlink"/>
          </w:rPr>
          <w:t>https://www.epa.gov/ground-water-and-drinking-water/protect-your-tap-quick-check-lead-0</w:t>
        </w:r>
      </w:hyperlink>
    </w:p>
    <w:p w14:paraId="7B9F3CC9" w14:textId="77777777" w:rsidR="00DE33F6" w:rsidRDefault="00DE33F6" w:rsidP="00DE33F6">
      <w:pPr>
        <w:pStyle w:val="NoSpacing"/>
      </w:pPr>
    </w:p>
    <w:bookmarkEnd w:id="1"/>
    <w:p w14:paraId="26EBDD5D" w14:textId="77777777" w:rsidR="00DE33F6" w:rsidRPr="00500F8C" w:rsidRDefault="00DE33F6" w:rsidP="00DE33F6">
      <w:pPr>
        <w:pStyle w:val="NoSpacing"/>
        <w:rPr>
          <w:color w:val="806000" w:themeColor="accent4" w:themeShade="80"/>
        </w:rPr>
      </w:pPr>
    </w:p>
    <w:p w14:paraId="4197F374" w14:textId="77777777" w:rsidR="00DE33F6" w:rsidRPr="002F1123" w:rsidRDefault="00DE33F6" w:rsidP="00DE33F6">
      <w:pPr>
        <w:pStyle w:val="NoSpacing"/>
        <w:rPr>
          <w:b/>
          <w:bCs/>
          <w:color w:val="806000" w:themeColor="accent4" w:themeShade="80"/>
          <w:sz w:val="32"/>
          <w:szCs w:val="32"/>
        </w:rPr>
      </w:pPr>
      <w:r w:rsidRPr="002F1123">
        <w:rPr>
          <w:color w:val="806000" w:themeColor="accent4" w:themeShade="80"/>
          <w:sz w:val="32"/>
          <w:szCs w:val="32"/>
        </w:rPr>
        <w:t>Health effects of lead</w:t>
      </w:r>
    </w:p>
    <w:p w14:paraId="7D638B98" w14:textId="77777777" w:rsidR="00DE33F6" w:rsidRPr="00481296" w:rsidRDefault="00DE33F6" w:rsidP="00DE33F6">
      <w:pPr>
        <w:pStyle w:val="NoSpacing"/>
        <w:rPr>
          <w:color w:val="806000" w:themeColor="accent4" w:themeShade="80"/>
        </w:rPr>
      </w:pPr>
    </w:p>
    <w:p w14:paraId="6EEF39FB" w14:textId="77777777" w:rsidR="00DE33F6" w:rsidRPr="002F1123" w:rsidRDefault="00DE33F6" w:rsidP="00DE33F6">
      <w:pPr>
        <w:pStyle w:val="NoSpacing"/>
        <w:rPr>
          <w:i/>
          <w:iCs/>
        </w:rPr>
      </w:pPr>
      <w:r w:rsidRPr="002F1123">
        <w:rPr>
          <w:i/>
          <w:iCs/>
        </w:rPr>
        <w:t xml:space="preserve">Exposure to lead in drinking water can cause serious health effects in all age groups.  Infants and children can have decreases in IQ and attention span. Lead exposure can lead to new learning and behavior problems or worsen existing learning and behavior problems. The children of women who are exposed to lead before or during pregnancy can have increased risk of these negative health effects.  Adults can have increased risks of heart disease, high blood pressure, and kidney, or nervous system problems. </w:t>
      </w:r>
    </w:p>
    <w:p w14:paraId="6A904472" w14:textId="77777777" w:rsidR="00DE33F6" w:rsidRPr="00481296" w:rsidRDefault="00DE33F6" w:rsidP="00DE33F6">
      <w:pPr>
        <w:pStyle w:val="NoSpacing"/>
        <w:rPr>
          <w:color w:val="806000" w:themeColor="accent4" w:themeShade="80"/>
        </w:rPr>
      </w:pPr>
    </w:p>
    <w:p w14:paraId="3B9EC9C4" w14:textId="77777777" w:rsidR="00DE33F6" w:rsidRPr="00481296" w:rsidRDefault="00DE33F6" w:rsidP="00DE33F6">
      <w:pPr>
        <w:pStyle w:val="NoSpacing"/>
        <w:rPr>
          <w:color w:val="806000" w:themeColor="accent4" w:themeShade="80"/>
          <w:sz w:val="32"/>
          <w:szCs w:val="32"/>
        </w:rPr>
      </w:pPr>
      <w:r w:rsidRPr="00481296">
        <w:rPr>
          <w:color w:val="806000" w:themeColor="accent4" w:themeShade="80"/>
          <w:sz w:val="32"/>
          <w:szCs w:val="32"/>
        </w:rPr>
        <w:t>Replacing lead service lines</w:t>
      </w:r>
    </w:p>
    <w:p w14:paraId="55AF43D0" w14:textId="77777777" w:rsidR="00DE33F6" w:rsidRDefault="00DE33F6" w:rsidP="00DE33F6">
      <w:pPr>
        <w:pStyle w:val="NoSpacing"/>
        <w:rPr>
          <w:color w:val="806000" w:themeColor="accent4" w:themeShade="80"/>
        </w:rPr>
      </w:pPr>
    </w:p>
    <w:p w14:paraId="299D3C18" w14:textId="77777777" w:rsidR="00DE33F6" w:rsidRPr="00481296" w:rsidRDefault="00DE33F6" w:rsidP="00DE33F6">
      <w:pPr>
        <w:pStyle w:val="NoSpacing"/>
        <w:rPr>
          <w:b/>
          <w:bCs/>
        </w:rPr>
      </w:pPr>
      <w:r>
        <w:t xml:space="preserve">If you are planning on replacing the portion of the service line that you own, please notify us at </w:t>
      </w:r>
      <w:proofErr w:type="gramStart"/>
      <w:r>
        <w:rPr>
          <w:b/>
          <w:bCs/>
        </w:rPr>
        <w:t>The</w:t>
      </w:r>
      <w:proofErr w:type="gramEnd"/>
      <w:r>
        <w:rPr>
          <w:b/>
          <w:bCs/>
        </w:rPr>
        <w:t xml:space="preserve"> city of Pick City, Jodi Ell, 701-487-3327 pickcity@westriv.com </w:t>
      </w:r>
    </w:p>
    <w:p w14:paraId="1017296E" w14:textId="77777777" w:rsidR="00DE33F6" w:rsidRDefault="00DE33F6" w:rsidP="00DE33F6">
      <w:pPr>
        <w:pStyle w:val="NoSpacing"/>
        <w:rPr>
          <w:color w:val="806000" w:themeColor="accent4" w:themeShade="80"/>
          <w:sz w:val="32"/>
          <w:szCs w:val="32"/>
        </w:rPr>
      </w:pPr>
    </w:p>
    <w:p w14:paraId="639D2A17" w14:textId="77777777" w:rsidR="00DE33F6" w:rsidRDefault="00DE33F6" w:rsidP="00DE33F6">
      <w:pPr>
        <w:pStyle w:val="NoSpacing"/>
        <w:rPr>
          <w:color w:val="806000" w:themeColor="accent4" w:themeShade="80"/>
          <w:sz w:val="32"/>
          <w:szCs w:val="32"/>
        </w:rPr>
      </w:pPr>
    </w:p>
    <w:p w14:paraId="51ACAC63" w14:textId="77777777" w:rsidR="00DE33F6" w:rsidRDefault="00DE33F6" w:rsidP="00DE33F6">
      <w:pPr>
        <w:pStyle w:val="NoSpacing"/>
        <w:rPr>
          <w:color w:val="806000" w:themeColor="accent4" w:themeShade="80"/>
          <w:sz w:val="32"/>
          <w:szCs w:val="32"/>
        </w:rPr>
      </w:pPr>
      <w:r>
        <w:rPr>
          <w:color w:val="806000" w:themeColor="accent4" w:themeShade="80"/>
          <w:sz w:val="32"/>
          <w:szCs w:val="32"/>
        </w:rPr>
        <w:t xml:space="preserve">For information about potential financing solutions </w:t>
      </w:r>
      <w:r>
        <w:t>to assist property owners with replacement of lead service lines, please contact us at The City of Pick City, pickcity@westriv.com</w:t>
      </w:r>
    </w:p>
    <w:p w14:paraId="685E2FD9" w14:textId="77777777" w:rsidR="00DE33F6" w:rsidRDefault="00DE33F6" w:rsidP="00DE33F6">
      <w:pPr>
        <w:pStyle w:val="NoSpacing"/>
        <w:rPr>
          <w:color w:val="806000" w:themeColor="accent4" w:themeShade="80"/>
          <w:sz w:val="32"/>
          <w:szCs w:val="32"/>
        </w:rPr>
      </w:pPr>
      <w:r>
        <w:rPr>
          <w:color w:val="806000" w:themeColor="accent4" w:themeShade="80"/>
          <w:sz w:val="32"/>
          <w:szCs w:val="32"/>
        </w:rPr>
        <w:t>Steps you can take to reduce lead in drinking water.</w:t>
      </w:r>
    </w:p>
    <w:p w14:paraId="005E8887" w14:textId="77777777" w:rsidR="00DE33F6" w:rsidRDefault="00DE33F6" w:rsidP="00DE33F6">
      <w:pPr>
        <w:pStyle w:val="NoSpacing"/>
      </w:pPr>
      <w:r>
        <w:t>Below are recommended actions that you may take, separately or in combination, if you are concerned about lead in your drinking water.  The list also includes where you may find more information and is not intended to be a complete list or to imply that all actions equally reduce lead in drinking water.</w:t>
      </w:r>
    </w:p>
    <w:p w14:paraId="45A85DB6" w14:textId="77777777" w:rsidR="00DE33F6" w:rsidRDefault="00DE33F6" w:rsidP="00DE33F6">
      <w:pPr>
        <w:pStyle w:val="NoSpacing"/>
      </w:pPr>
    </w:p>
    <w:p w14:paraId="671FF193" w14:textId="77777777" w:rsidR="00DE33F6" w:rsidRDefault="00DE33F6" w:rsidP="00DE33F6">
      <w:pPr>
        <w:pStyle w:val="NoSpacing"/>
      </w:pPr>
      <w:r w:rsidRPr="003D0861">
        <w:rPr>
          <w:b/>
          <w:bCs/>
        </w:rPr>
        <w:t>Clean your aerator:</w:t>
      </w:r>
      <w:r>
        <w:t xml:space="preserve"> Regularly remove and clean your faucet’s screen (also known as an aerator). Sediment,</w:t>
      </w:r>
    </w:p>
    <w:p w14:paraId="4F837030" w14:textId="77777777" w:rsidR="00DE33F6" w:rsidRDefault="00DE33F6" w:rsidP="00DE33F6">
      <w:pPr>
        <w:spacing w:after="120"/>
        <w:rPr>
          <w:rFonts w:cs="Arial"/>
        </w:rPr>
      </w:pPr>
      <w:r w:rsidRPr="00266CFE">
        <w:rPr>
          <w:rFonts w:cs="Arial"/>
        </w:rPr>
        <w:t xml:space="preserve">debris, and lead particles can collect in your aerator. If lead particles are caught in the aerator, lead can get into your water. </w:t>
      </w:r>
    </w:p>
    <w:p w14:paraId="0073CED6" w14:textId="77777777" w:rsidR="00DE33F6" w:rsidRDefault="00DE33F6" w:rsidP="00DE33F6">
      <w:pPr>
        <w:spacing w:after="120"/>
        <w:rPr>
          <w:rFonts w:cs="Arial"/>
        </w:rPr>
      </w:pPr>
      <w:r w:rsidRPr="003D0861">
        <w:rPr>
          <w:rFonts w:cs="Arial"/>
          <w:b/>
          <w:bCs/>
        </w:rPr>
        <w:t>Use cold water:</w:t>
      </w:r>
      <w:r>
        <w:rPr>
          <w:rFonts w:cs="Arial"/>
        </w:rPr>
        <w:t xml:space="preserve">  Do not use hot water from the tap for drinking, cooking, or making baby formula as lead dissolves more easily into hot water.  Boiling water </w:t>
      </w:r>
      <w:r w:rsidRPr="003D0861">
        <w:rPr>
          <w:rFonts w:cs="Arial"/>
          <w:b/>
          <w:bCs/>
        </w:rPr>
        <w:t>does not</w:t>
      </w:r>
      <w:r>
        <w:rPr>
          <w:rFonts w:cs="Arial"/>
        </w:rPr>
        <w:t xml:space="preserve"> remove lead from water.</w:t>
      </w:r>
    </w:p>
    <w:p w14:paraId="75D2A2B5" w14:textId="77777777" w:rsidR="00DE33F6" w:rsidRDefault="00DE33F6" w:rsidP="00DE33F6">
      <w:pPr>
        <w:spacing w:after="120"/>
        <w:rPr>
          <w:rFonts w:cs="Arial"/>
          <w:b/>
          <w:bCs/>
        </w:rPr>
      </w:pPr>
      <w:bookmarkStart w:id="2" w:name="_Hlk174970738"/>
      <w:r w:rsidRPr="00266CFE">
        <w:rPr>
          <w:rFonts w:cs="Arial"/>
          <w:b/>
          <w:bCs/>
        </w:rPr>
        <w:t>Run Your Water to Flush out Lead</w:t>
      </w:r>
      <w:r>
        <w:rPr>
          <w:rFonts w:cs="Arial"/>
          <w:b/>
          <w:bCs/>
        </w:rPr>
        <w:t>:</w:t>
      </w:r>
      <w:r w:rsidRPr="00266CFE">
        <w:rPr>
          <w:rFonts w:cs="Arial"/>
        </w:rPr>
        <w:t xml:space="preserve"> </w:t>
      </w:r>
      <w:r>
        <w:rPr>
          <w:rFonts w:cs="Arial"/>
        </w:rPr>
        <w:t xml:space="preserve"> Before drinking, flush your home’s pipes by running the tap, taking a shower, doing laundry, or doing a load of dishes. The more time water has been sitting in pipes providing water to your home, the more lead it may contain.  The amount of time to run the water will depend on whether your home has a lead service line or not, the length and diameter of the service line and the amount of plumbing in your home. </w:t>
      </w:r>
    </w:p>
    <w:p w14:paraId="2CB8F816" w14:textId="77777777" w:rsidR="00DE33F6" w:rsidRDefault="00DE33F6" w:rsidP="00DE33F6">
      <w:pPr>
        <w:rPr>
          <w:rFonts w:cs="Arial"/>
        </w:rPr>
      </w:pPr>
      <w:r w:rsidRPr="00743C84">
        <w:rPr>
          <w:b/>
          <w:bCs/>
        </w:rPr>
        <w:t>Should you want to sample</w:t>
      </w:r>
      <w:r>
        <w:t xml:space="preserve"> </w:t>
      </w:r>
      <w:r w:rsidRPr="0098233E">
        <w:rPr>
          <w:b/>
          <w:bCs/>
        </w:rPr>
        <w:t>the tap at this location</w:t>
      </w:r>
      <w:r>
        <w:t xml:space="preserve"> for lead because you have received this notice, contact your local public water system for assistance in selection of a certified laboratory.   Supplies will be sent directly to your location. There may be a cost to you for this sampling. Carefully read the instructions provided with the test kit. Different kits have different procedures. The sample must be taken from a kitchen or bathroom tap that is used daily.  The test requires a sample of water that has been sitting in the household plumbing for no less than 6 but no more than 18 hours. Once the sample is collected, you will </w:t>
      </w:r>
      <w:r>
        <w:rPr>
          <w:kern w:val="0"/>
          <w14:ligatures w14:val="none"/>
        </w:rPr>
        <w:t>promptly</w:t>
      </w:r>
      <w:r>
        <w:t xml:space="preserve"> ship the sample back to the laboratory. The laboratory will then send the sample results directly to you. </w:t>
      </w:r>
    </w:p>
    <w:p w14:paraId="4F122C72" w14:textId="77777777" w:rsidR="00DE33F6" w:rsidRDefault="00DE33F6" w:rsidP="00DE33F6">
      <w:pPr>
        <w:rPr>
          <w:rFonts w:cs="Arial"/>
        </w:rPr>
      </w:pPr>
      <w:r>
        <w:rPr>
          <w:rFonts w:cs="Arial"/>
        </w:rPr>
        <w:t xml:space="preserve">For more information on sources of lead that include service lines and interior plumbing, please visit </w:t>
      </w:r>
      <w:hyperlink r:id="rId11" w:anchor="getinfo" w:history="1">
        <w:r w:rsidRPr="00B463E8">
          <w:rPr>
            <w:rStyle w:val="Hyperlink"/>
            <w:rFonts w:cs="Arial"/>
          </w:rPr>
          <w:t>https://www.epa.gov/ground-water-and-drinking-water/basic-information-about-lead-drinking-water#getinfo</w:t>
        </w:r>
      </w:hyperlink>
    </w:p>
    <w:bookmarkEnd w:id="2"/>
    <w:p w14:paraId="0740040F" w14:textId="77777777" w:rsidR="00DE33F6" w:rsidRDefault="00DE33F6" w:rsidP="00DE33F6">
      <w:pPr>
        <w:spacing w:after="120"/>
        <w:rPr>
          <w:rFonts w:cs="Arial"/>
        </w:rPr>
      </w:pPr>
      <w:r w:rsidRPr="00266CFE">
        <w:rPr>
          <w:rFonts w:cs="Arial"/>
          <w:b/>
          <w:bCs/>
        </w:rPr>
        <w:t>Use your filter properly</w:t>
      </w:r>
      <w:r>
        <w:rPr>
          <w:rFonts w:cs="Arial"/>
          <w:b/>
          <w:bCs/>
        </w:rPr>
        <w:t>:</w:t>
      </w:r>
      <w:r w:rsidRPr="00266CFE">
        <w:rPr>
          <w:rFonts w:cs="Arial"/>
        </w:rPr>
        <w:t xml:space="preserve"> Using a filter can reduce lead in drinking water. If you use a filter, it should be certified to remove lead. Read any directions provided with the filter to learn how to properly install, maintain, and use your cartridge and when to replace it. Using the cartridge after it has expired can make it less effective at removing lead. Do not run hot water through the filter. For more information on facts and advice on home water filtration systems, visit EPA’s website at </w:t>
      </w:r>
    </w:p>
    <w:p w14:paraId="3DE8637B" w14:textId="77777777" w:rsidR="00DE33F6" w:rsidRPr="00266CFE" w:rsidRDefault="00DE33F6" w:rsidP="00DE33F6">
      <w:pPr>
        <w:spacing w:after="120"/>
        <w:rPr>
          <w:rFonts w:cs="Arial"/>
        </w:rPr>
      </w:pPr>
      <w:hyperlink r:id="rId12" w:history="1">
        <w:r w:rsidRPr="003B09CF">
          <w:rPr>
            <w:rStyle w:val="Hyperlink"/>
            <w:rFonts w:cs="Arial"/>
          </w:rPr>
          <w:t>https://www.epa.gov/water-research/consumer-tool-identifying-point-use-and-pitcher-filters-certified-reduce-lead</w:t>
        </w:r>
      </w:hyperlink>
      <w:r w:rsidRPr="00266CFE">
        <w:rPr>
          <w:rFonts w:cs="Arial"/>
        </w:rPr>
        <w:t xml:space="preserve">. </w:t>
      </w:r>
    </w:p>
    <w:p w14:paraId="488DBE7A" w14:textId="174C081E" w:rsidR="00DE33F6" w:rsidRPr="00DE33F6" w:rsidRDefault="00DE33F6" w:rsidP="00DE33F6">
      <w:pPr>
        <w:spacing w:after="120"/>
        <w:rPr>
          <w:rFonts w:cs="Arial"/>
        </w:rPr>
      </w:pPr>
      <w:r w:rsidRPr="00EC2061">
        <w:rPr>
          <w:rFonts w:cs="Arial"/>
          <w:b/>
          <w:bCs/>
        </w:rPr>
        <w:t>Consider consulting your healthcare provider.</w:t>
      </w:r>
      <w:r>
        <w:rPr>
          <w:rFonts w:cs="Arial"/>
        </w:rPr>
        <w:t xml:space="preserve">  If you are concerned about the health effects of lead, a</w:t>
      </w:r>
      <w:r w:rsidRPr="00266CFE">
        <w:rPr>
          <w:rFonts w:cs="Arial"/>
        </w:rPr>
        <w:t xml:space="preserve"> family doctor or pediatrician can </w:t>
      </w:r>
      <w:r>
        <w:rPr>
          <w:rFonts w:cs="Arial"/>
        </w:rPr>
        <w:t xml:space="preserve">determine which actions are necessary, whether it is necessary to </w:t>
      </w:r>
      <w:r w:rsidRPr="00266CFE">
        <w:rPr>
          <w:rFonts w:cs="Arial"/>
        </w:rPr>
        <w:t>perform a blood test for lea</w:t>
      </w:r>
      <w:r>
        <w:rPr>
          <w:rFonts w:cs="Arial"/>
        </w:rPr>
        <w:t>d,</w:t>
      </w:r>
      <w:r w:rsidRPr="00266CFE">
        <w:rPr>
          <w:rFonts w:cs="Arial"/>
        </w:rPr>
        <w:t xml:space="preserve"> and </w:t>
      </w:r>
      <w:r>
        <w:rPr>
          <w:rFonts w:cs="Arial"/>
        </w:rPr>
        <w:t xml:space="preserve">can </w:t>
      </w:r>
      <w:r w:rsidRPr="00266CFE">
        <w:rPr>
          <w:rFonts w:cs="Arial"/>
        </w:rPr>
        <w:t xml:space="preserve">provide </w:t>
      </w:r>
      <w:r>
        <w:rPr>
          <w:rFonts w:cs="Arial"/>
        </w:rPr>
        <w:t xml:space="preserve">more </w:t>
      </w:r>
      <w:r w:rsidRPr="00266CFE">
        <w:rPr>
          <w:rFonts w:cs="Arial"/>
        </w:rPr>
        <w:t xml:space="preserve">information about </w:t>
      </w:r>
      <w:r>
        <w:rPr>
          <w:rFonts w:cs="Arial"/>
        </w:rPr>
        <w:t xml:space="preserve">your health. </w:t>
      </w:r>
      <w:r w:rsidRPr="00266CFE">
        <w:rPr>
          <w:rFonts w:cs="Arial"/>
        </w:rPr>
        <w:t xml:space="preserve"> For more information and links to The Centers for Disease Control and Prevention CDC’s website, please visit </w:t>
      </w:r>
      <w:hyperlink r:id="rId13" w:history="1">
        <w:r w:rsidRPr="00266CFE">
          <w:rPr>
            <w:rFonts w:cs="Arial"/>
            <w:color w:val="0563C1" w:themeColor="hyperlink"/>
            <w:u w:val="single"/>
          </w:rPr>
          <w:t>https://www.epa.gov/ground-water-and-drinking-water/basic-information-about-lead-drinking-water</w:t>
        </w:r>
      </w:hyperlink>
      <w:r w:rsidRPr="00266CFE">
        <w:rPr>
          <w:rFonts w:cs="Arial"/>
        </w:rPr>
        <w:t>.</w:t>
      </w:r>
      <w:r w:rsidRPr="00A608F2">
        <w:rPr>
          <w:rFonts w:eastAsiaTheme="minorEastAsia"/>
          <w:b/>
          <w:bCs/>
          <w:color w:val="000000" w:themeColor="text1"/>
        </w:rPr>
        <w:t>For more information on reducing lead exposure</w:t>
      </w:r>
      <w:r w:rsidRPr="00A608F2">
        <w:rPr>
          <w:b/>
          <w:bCs/>
        </w:rPr>
        <w:t xml:space="preserve"> </w:t>
      </w:r>
      <w:r w:rsidRPr="00266CFE">
        <w:t xml:space="preserve">from your drinking water and the health effects of lead, visit EPA’s website at </w:t>
      </w:r>
      <w:hyperlink r:id="rId14">
        <w:r w:rsidRPr="00266CFE">
          <w:rPr>
            <w:i/>
            <w:iCs/>
            <w:u w:val="single"/>
          </w:rPr>
          <w:t>http://www.epa.gov/lead</w:t>
        </w:r>
      </w:hyperlink>
    </w:p>
    <w:sectPr w:rsidR="00DE33F6" w:rsidRPr="00DE33F6" w:rsidSect="00683825">
      <w:headerReference w:type="defaul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CF847" w14:textId="77777777" w:rsidR="004475A6" w:rsidRDefault="004475A6">
      <w:pPr>
        <w:spacing w:after="0" w:line="240" w:lineRule="auto"/>
      </w:pPr>
      <w:r>
        <w:separator/>
      </w:r>
    </w:p>
  </w:endnote>
  <w:endnote w:type="continuationSeparator" w:id="0">
    <w:p w14:paraId="576E4A44" w14:textId="77777777" w:rsidR="004475A6" w:rsidRDefault="004475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iner Hand ITC">
    <w:charset w:val="00"/>
    <w:family w:val="script"/>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35B34" w14:textId="77777777" w:rsidR="004475A6" w:rsidRDefault="004475A6">
      <w:pPr>
        <w:spacing w:after="0" w:line="240" w:lineRule="auto"/>
      </w:pPr>
      <w:r>
        <w:separator/>
      </w:r>
    </w:p>
  </w:footnote>
  <w:footnote w:type="continuationSeparator" w:id="0">
    <w:p w14:paraId="698E9D4F" w14:textId="77777777" w:rsidR="004475A6" w:rsidRDefault="004475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Content>
      <w:p w14:paraId="1468B565" w14:textId="77777777" w:rsidR="00DE33F6" w:rsidRDefault="00DE33F6">
        <w:pPr>
          <w:pStyle w:val="Head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p w14:paraId="69BAF515" w14:textId="77777777" w:rsidR="008343F1" w:rsidRDefault="008343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3F1"/>
    <w:rsid w:val="00211C52"/>
    <w:rsid w:val="004475A6"/>
    <w:rsid w:val="00683825"/>
    <w:rsid w:val="007D0EA8"/>
    <w:rsid w:val="008343F1"/>
    <w:rsid w:val="008E0B95"/>
    <w:rsid w:val="008E7D98"/>
    <w:rsid w:val="009627A8"/>
    <w:rsid w:val="00BF4098"/>
    <w:rsid w:val="00C92413"/>
    <w:rsid w:val="00CD114C"/>
    <w:rsid w:val="00DE33F6"/>
    <w:rsid w:val="00FA0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B0E1E"/>
  <w15:chartTrackingRefBased/>
  <w15:docId w15:val="{52355BB7-0039-4EBB-87E8-8A75239C5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43F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343F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343F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343F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343F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343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43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43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43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43F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343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343F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343F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343F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343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43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43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43F1"/>
    <w:rPr>
      <w:rFonts w:eastAsiaTheme="majorEastAsia" w:cstheme="majorBidi"/>
      <w:color w:val="272727" w:themeColor="text1" w:themeTint="D8"/>
    </w:rPr>
  </w:style>
  <w:style w:type="paragraph" w:styleId="Title">
    <w:name w:val="Title"/>
    <w:basedOn w:val="Normal"/>
    <w:next w:val="Normal"/>
    <w:link w:val="TitleChar"/>
    <w:uiPriority w:val="10"/>
    <w:qFormat/>
    <w:rsid w:val="008343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43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43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43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43F1"/>
    <w:pPr>
      <w:spacing w:before="160"/>
      <w:jc w:val="center"/>
    </w:pPr>
    <w:rPr>
      <w:i/>
      <w:iCs/>
      <w:color w:val="404040" w:themeColor="text1" w:themeTint="BF"/>
    </w:rPr>
  </w:style>
  <w:style w:type="character" w:customStyle="1" w:styleId="QuoteChar">
    <w:name w:val="Quote Char"/>
    <w:basedOn w:val="DefaultParagraphFont"/>
    <w:link w:val="Quote"/>
    <w:uiPriority w:val="29"/>
    <w:rsid w:val="008343F1"/>
    <w:rPr>
      <w:i/>
      <w:iCs/>
      <w:color w:val="404040" w:themeColor="text1" w:themeTint="BF"/>
    </w:rPr>
  </w:style>
  <w:style w:type="paragraph" w:styleId="ListParagraph">
    <w:name w:val="List Paragraph"/>
    <w:basedOn w:val="Normal"/>
    <w:uiPriority w:val="34"/>
    <w:qFormat/>
    <w:rsid w:val="008343F1"/>
    <w:pPr>
      <w:ind w:left="720"/>
      <w:contextualSpacing/>
    </w:pPr>
  </w:style>
  <w:style w:type="character" w:styleId="IntenseEmphasis">
    <w:name w:val="Intense Emphasis"/>
    <w:basedOn w:val="DefaultParagraphFont"/>
    <w:uiPriority w:val="21"/>
    <w:qFormat/>
    <w:rsid w:val="008343F1"/>
    <w:rPr>
      <w:i/>
      <w:iCs/>
      <w:color w:val="2F5496" w:themeColor="accent1" w:themeShade="BF"/>
    </w:rPr>
  </w:style>
  <w:style w:type="paragraph" w:styleId="IntenseQuote">
    <w:name w:val="Intense Quote"/>
    <w:basedOn w:val="Normal"/>
    <w:next w:val="Normal"/>
    <w:link w:val="IntenseQuoteChar"/>
    <w:uiPriority w:val="30"/>
    <w:qFormat/>
    <w:rsid w:val="008343F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343F1"/>
    <w:rPr>
      <w:i/>
      <w:iCs/>
      <w:color w:val="2F5496" w:themeColor="accent1" w:themeShade="BF"/>
    </w:rPr>
  </w:style>
  <w:style w:type="character" w:styleId="IntenseReference">
    <w:name w:val="Intense Reference"/>
    <w:basedOn w:val="DefaultParagraphFont"/>
    <w:uiPriority w:val="32"/>
    <w:qFormat/>
    <w:rsid w:val="008343F1"/>
    <w:rPr>
      <w:b/>
      <w:bCs/>
      <w:smallCaps/>
      <w:color w:val="2F5496" w:themeColor="accent1" w:themeShade="BF"/>
      <w:spacing w:val="5"/>
    </w:rPr>
  </w:style>
  <w:style w:type="paragraph" w:styleId="Header">
    <w:name w:val="header"/>
    <w:basedOn w:val="Normal"/>
    <w:link w:val="HeaderChar"/>
    <w:uiPriority w:val="99"/>
    <w:unhideWhenUsed/>
    <w:rsid w:val="008343F1"/>
    <w:pPr>
      <w:tabs>
        <w:tab w:val="center" w:pos="4680"/>
        <w:tab w:val="right" w:pos="9360"/>
      </w:tabs>
      <w:spacing w:after="0" w:line="240" w:lineRule="auto"/>
    </w:pPr>
    <w:rPr>
      <w:rFonts w:eastAsia="Times New Roman" w:cs="Times New Roman"/>
      <w14:ligatures w14:val="none"/>
    </w:rPr>
  </w:style>
  <w:style w:type="character" w:customStyle="1" w:styleId="HeaderChar">
    <w:name w:val="Header Char"/>
    <w:basedOn w:val="DefaultParagraphFont"/>
    <w:link w:val="Header"/>
    <w:uiPriority w:val="99"/>
    <w:rsid w:val="008343F1"/>
    <w:rPr>
      <w:rFonts w:eastAsia="Times New Roman" w:cs="Times New Roman"/>
      <w14:ligatures w14:val="none"/>
    </w:rPr>
  </w:style>
  <w:style w:type="paragraph" w:styleId="NoSpacing">
    <w:name w:val="No Spacing"/>
    <w:uiPriority w:val="1"/>
    <w:qFormat/>
    <w:rsid w:val="00DE33F6"/>
    <w:pPr>
      <w:spacing w:after="0" w:line="240" w:lineRule="auto"/>
    </w:pPr>
    <w:rPr>
      <w:rFonts w:ascii="Arial" w:hAnsi="Arial"/>
      <w:sz w:val="22"/>
      <w:szCs w:val="22"/>
    </w:rPr>
  </w:style>
  <w:style w:type="character" w:styleId="Hyperlink">
    <w:name w:val="Hyperlink"/>
    <w:basedOn w:val="DefaultParagraphFont"/>
    <w:uiPriority w:val="99"/>
    <w:unhideWhenUsed/>
    <w:rsid w:val="00DE33F6"/>
    <w:rPr>
      <w:color w:val="0563C1" w:themeColor="hyperlink"/>
      <w:u w:val="single"/>
    </w:rPr>
  </w:style>
  <w:style w:type="paragraph" w:styleId="Footer">
    <w:name w:val="footer"/>
    <w:basedOn w:val="Normal"/>
    <w:link w:val="FooterChar"/>
    <w:uiPriority w:val="99"/>
    <w:unhideWhenUsed/>
    <w:rsid w:val="00DE33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33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www.epa.gov/ground-water-and-drinking-water/basic-information-about-lead-drinking-water" TargetMode="Externa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s://www.epa.gov/water-research/consumer-tool-identifying-point-use-and-pitcher-filters-certified-reduce-lead"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epa.gov/ground-water-and-drinking-water/basic-information-about-lead-drinking-water"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www.epa.gov/ground-water-and-drinking-water/protect-your-tap-quick-check-lead-0" TargetMode="External"/><Relationship Id="rId4" Type="http://schemas.openxmlformats.org/officeDocument/2006/relationships/footnotes" Target="footnotes.xml"/><Relationship Id="rId9" Type="http://schemas.openxmlformats.org/officeDocument/2006/relationships/hyperlink" Target="mailto:pickcity@westriv.com" TargetMode="External"/><Relationship Id="rId14" Type="http://schemas.openxmlformats.org/officeDocument/2006/relationships/hyperlink" Target="http://www.epa.gov/le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5</Pages>
  <Words>1771</Words>
  <Characters>10099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Hall</dc:creator>
  <cp:keywords/>
  <dc:description/>
  <cp:lastModifiedBy>City Hall</cp:lastModifiedBy>
  <cp:revision>4</cp:revision>
  <dcterms:created xsi:type="dcterms:W3CDTF">2026-10-20T16:37:00Z</dcterms:created>
  <dcterms:modified xsi:type="dcterms:W3CDTF">2026-10-28T15:00:00Z</dcterms:modified>
</cp:coreProperties>
</file>